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media/image3.png" ContentType="image/jpeg"/>
  <Override PartName="/word/media/image4.png" ContentType="image/jpeg"/>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15689" w:rsidRDefault="00215689" w:rsidP="00215689">
      <w:pPr>
        <w:pStyle w:val="TOCHeading"/>
        <w:spacing w:before="100" w:after="100" w:line="480" w:lineRule="auto"/>
        <w:outlineLvl w:val="9"/>
      </w:pPr>
      <w:r>
        <w:rPr>
          <w:rFonts w:ascii="Times New Roman" w:hAnsi="Times New Roman"/>
          <w:noProof/>
          <w:color w:val="auto"/>
          <w:sz w:val="24"/>
          <w:szCs w:val="24"/>
        </w:rPr>
        <w:drawing>
          <wp:anchor distT="0" distB="0" distL="114300" distR="114300" simplePos="0" relativeHeight="251659264" behindDoc="0" locked="0" layoutInCell="1" allowOverlap="1" wp14:anchorId="52E64BD9" wp14:editId="67F8A4CA">
            <wp:simplePos x="0" y="0"/>
            <wp:positionH relativeFrom="margin">
              <wp:posOffset>2251710</wp:posOffset>
            </wp:positionH>
            <wp:positionV relativeFrom="paragraph">
              <wp:posOffset>8887</wp:posOffset>
            </wp:positionV>
            <wp:extent cx="1701168" cy="878208"/>
            <wp:effectExtent l="0" t="0" r="0" b="0"/>
            <wp:wrapThrough wrapText="bothSides">
              <wp:wrapPolygon edited="0">
                <wp:start x="0" y="0"/>
                <wp:lineTo x="0" y="19786"/>
                <wp:lineTo x="20369" y="19786"/>
                <wp:lineTo x="20369" y="0"/>
                <wp:lineTo x="0" y="0"/>
              </wp:wrapPolygon>
            </wp:wrapThrough>
            <wp:docPr id="1" name="صورة 5"/>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rcRect/>
                    <a:stretch>
                      <a:fillRect/>
                    </a:stretch>
                  </pic:blipFill>
                  <pic:spPr>
                    <a:xfrm>
                      <a:off x="0" y="0"/>
                      <a:ext cx="1701168" cy="878208"/>
                    </a:xfrm>
                    <a:prstGeom prst="rect">
                      <a:avLst/>
                    </a:prstGeom>
                    <a:noFill/>
                    <a:ln>
                      <a:noFill/>
                      <a:prstDash/>
                    </a:ln>
                  </pic:spPr>
                </pic:pic>
              </a:graphicData>
            </a:graphic>
          </wp:anchor>
        </w:drawing>
      </w:r>
    </w:p>
    <w:p w:rsidR="00215689" w:rsidRDefault="00215689" w:rsidP="00215689">
      <w:pPr>
        <w:spacing w:before="100" w:after="100" w:line="480" w:lineRule="auto"/>
        <w:rPr>
          <w:rFonts w:ascii="Times New Roman" w:hAnsi="Times New Roman" w:cs="Times New Roman"/>
          <w:sz w:val="24"/>
          <w:szCs w:val="24"/>
        </w:rPr>
      </w:pPr>
    </w:p>
    <w:p w:rsidR="00215689" w:rsidRDefault="00215689" w:rsidP="00215689">
      <w:pPr>
        <w:spacing w:before="100" w:after="100" w:line="480" w:lineRule="auto"/>
        <w:rPr>
          <w:rFonts w:ascii="Times New Roman" w:hAnsi="Times New Roman" w:cs="Times New Roman"/>
          <w:sz w:val="24"/>
          <w:szCs w:val="24"/>
        </w:rPr>
      </w:pPr>
    </w:p>
    <w:p w:rsidR="00215689" w:rsidRDefault="00215689" w:rsidP="00215689">
      <w:pPr>
        <w:spacing w:before="100" w:after="100" w:line="480" w:lineRule="auto"/>
        <w:jc w:val="center"/>
        <w:rPr>
          <w:rFonts w:ascii="Times New Roman" w:hAnsi="Times New Roman" w:cs="Times New Roman"/>
          <w:bCs/>
          <w:sz w:val="24"/>
          <w:szCs w:val="24"/>
        </w:rPr>
      </w:pPr>
      <w:r>
        <w:rPr>
          <w:rFonts w:ascii="Times New Roman" w:hAnsi="Times New Roman" w:cs="Times New Roman"/>
          <w:bCs/>
          <w:sz w:val="24"/>
          <w:szCs w:val="24"/>
        </w:rPr>
        <w:t>TARGETED MONOCLONAL ANTIBODY THERAPY FOR HER2+ BREAST CANCER PATIENTS</w:t>
      </w:r>
    </w:p>
    <w:p w:rsidR="00215689" w:rsidRDefault="00215689" w:rsidP="00215689">
      <w:pPr>
        <w:spacing w:before="100" w:after="100" w:line="480" w:lineRule="auto"/>
        <w:jc w:val="center"/>
      </w:pPr>
      <w:r>
        <w:rPr>
          <w:rFonts w:ascii="Times New Roman" w:hAnsi="Times New Roman" w:cs="Times New Roman"/>
          <w:sz w:val="24"/>
          <w:szCs w:val="24"/>
        </w:rPr>
        <w:t xml:space="preserve">Prepared by: Ghady AlKharboosh </w:t>
      </w:r>
    </w:p>
    <w:p w:rsidR="00215689" w:rsidRDefault="00215689" w:rsidP="00215689">
      <w:pPr>
        <w:spacing w:before="100" w:after="100" w:line="480" w:lineRule="auto"/>
        <w:jc w:val="center"/>
        <w:rPr>
          <w:rFonts w:ascii="Times New Roman" w:hAnsi="Times New Roman" w:cs="Times New Roman"/>
          <w:sz w:val="24"/>
          <w:szCs w:val="24"/>
        </w:rPr>
      </w:pPr>
      <w:r>
        <w:rPr>
          <w:rFonts w:ascii="Times New Roman" w:hAnsi="Times New Roman" w:cs="Times New Roman"/>
          <w:sz w:val="24"/>
          <w:szCs w:val="24"/>
        </w:rPr>
        <w:t>Supervised by: Dr. Haifa Alnafea</w:t>
      </w:r>
    </w:p>
    <w:p w:rsidR="00215689" w:rsidRDefault="00215689" w:rsidP="00215689">
      <w:pPr>
        <w:spacing w:before="100" w:after="100" w:line="480" w:lineRule="auto"/>
        <w:jc w:val="center"/>
        <w:rPr>
          <w:rFonts w:ascii="Times New Roman" w:hAnsi="Times New Roman" w:cs="Times New Roman"/>
          <w:sz w:val="24"/>
          <w:szCs w:val="24"/>
        </w:rPr>
      </w:pPr>
    </w:p>
    <w:p w:rsidR="00215689" w:rsidRDefault="00215689" w:rsidP="00215689">
      <w:pPr>
        <w:pStyle w:val="NoSpacing"/>
        <w:spacing w:before="100" w:after="100" w:line="480" w:lineRule="auto"/>
        <w:jc w:val="center"/>
        <w:rPr>
          <w:rFonts w:ascii="Times New Roman" w:hAnsi="Times New Roman" w:cs="Times New Roman"/>
          <w:bCs/>
          <w:caps/>
          <w:sz w:val="24"/>
          <w:szCs w:val="24"/>
        </w:rPr>
      </w:pPr>
      <w:r>
        <w:rPr>
          <w:rFonts w:ascii="Times New Roman" w:hAnsi="Times New Roman" w:cs="Times New Roman"/>
          <w:bCs/>
          <w:caps/>
          <w:sz w:val="24"/>
          <w:szCs w:val="24"/>
        </w:rPr>
        <w:t>King Saud University</w:t>
      </w:r>
    </w:p>
    <w:p w:rsidR="00215689" w:rsidRDefault="00215689" w:rsidP="00215689">
      <w:pPr>
        <w:pStyle w:val="NoSpacing"/>
        <w:spacing w:before="100" w:after="100" w:line="480" w:lineRule="auto"/>
        <w:jc w:val="center"/>
        <w:rPr>
          <w:rFonts w:ascii="Times New Roman" w:hAnsi="Times New Roman" w:cs="Times New Roman"/>
          <w:bCs/>
          <w:caps/>
          <w:sz w:val="24"/>
          <w:szCs w:val="24"/>
        </w:rPr>
      </w:pPr>
      <w:r>
        <w:rPr>
          <w:rFonts w:ascii="Times New Roman" w:hAnsi="Times New Roman" w:cs="Times New Roman"/>
          <w:bCs/>
          <w:caps/>
          <w:sz w:val="24"/>
          <w:szCs w:val="24"/>
        </w:rPr>
        <w:t>Collage of applied medical sciences</w:t>
      </w:r>
    </w:p>
    <w:p w:rsidR="00215689" w:rsidRDefault="00215689" w:rsidP="00215689">
      <w:pPr>
        <w:pStyle w:val="NoSpacing"/>
        <w:spacing w:before="100" w:after="100" w:line="480" w:lineRule="auto"/>
        <w:jc w:val="center"/>
      </w:pPr>
      <w:r>
        <w:rPr>
          <w:rFonts w:ascii="Times New Roman" w:hAnsi="Times New Roman" w:cs="Times New Roman"/>
          <w:bCs/>
          <w:caps/>
          <w:sz w:val="24"/>
          <w:szCs w:val="24"/>
        </w:rPr>
        <w:t>Clinical laboratory sciences department</w:t>
      </w:r>
    </w:p>
    <w:p w:rsidR="00215689" w:rsidRDefault="00215689" w:rsidP="00215689">
      <w:pPr>
        <w:spacing w:before="100" w:after="100" w:line="480" w:lineRule="auto"/>
        <w:jc w:val="center"/>
        <w:rPr>
          <w:rFonts w:ascii="Times New Roman" w:hAnsi="Times New Roman" w:cs="Times New Roman"/>
          <w:sz w:val="24"/>
          <w:szCs w:val="24"/>
        </w:rPr>
      </w:pPr>
    </w:p>
    <w:p w:rsidR="00215689" w:rsidRDefault="00215689" w:rsidP="00215689">
      <w:pPr>
        <w:spacing w:before="100" w:after="100" w:line="480" w:lineRule="auto"/>
        <w:jc w:val="center"/>
        <w:rPr>
          <w:rFonts w:ascii="Times New Roman" w:hAnsi="Times New Roman" w:cs="Times New Roman"/>
          <w:sz w:val="24"/>
          <w:szCs w:val="24"/>
        </w:rPr>
      </w:pPr>
      <w:r>
        <w:rPr>
          <w:rFonts w:ascii="Times New Roman" w:hAnsi="Times New Roman" w:cs="Times New Roman"/>
          <w:sz w:val="24"/>
          <w:szCs w:val="24"/>
        </w:rPr>
        <w:t>Submitted in partial fulfillment of the requirements for the Degree of Bachelor of Clinical Laboratory Science</w:t>
      </w:r>
    </w:p>
    <w:p w:rsidR="00215689" w:rsidRDefault="00215689" w:rsidP="00215689">
      <w:pPr>
        <w:spacing w:before="100" w:after="100" w:line="480" w:lineRule="auto"/>
        <w:jc w:val="center"/>
        <w:rPr>
          <w:rFonts w:ascii="Times New Roman" w:hAnsi="Times New Roman" w:cs="Times New Roman"/>
          <w:sz w:val="24"/>
          <w:szCs w:val="24"/>
        </w:rPr>
      </w:pPr>
    </w:p>
    <w:p w:rsidR="00215689" w:rsidRDefault="00215689" w:rsidP="00215689">
      <w:pPr>
        <w:spacing w:before="100" w:after="100" w:line="480" w:lineRule="auto"/>
        <w:jc w:val="center"/>
        <w:rPr>
          <w:rFonts w:ascii="Times New Roman" w:hAnsi="Times New Roman" w:cs="Times New Roman"/>
          <w:sz w:val="24"/>
          <w:szCs w:val="24"/>
        </w:rPr>
      </w:pPr>
      <w:r>
        <w:rPr>
          <w:rFonts w:ascii="Times New Roman" w:hAnsi="Times New Roman" w:cs="Times New Roman"/>
          <w:sz w:val="24"/>
          <w:szCs w:val="24"/>
        </w:rPr>
        <w:t>2017-2018</w:t>
      </w:r>
      <w:bookmarkStart w:id="0" w:name="_Toc507878084"/>
    </w:p>
    <w:p w:rsidR="00215689" w:rsidRDefault="00215689" w:rsidP="00215689">
      <w:pPr>
        <w:pStyle w:val="TOCHeading"/>
        <w:outlineLvl w:val="9"/>
        <w:rPr>
          <w:rFonts w:ascii="Times New Roman" w:hAnsi="Times New Roman"/>
          <w:b/>
          <w:color w:val="auto"/>
          <w:sz w:val="24"/>
          <w:szCs w:val="24"/>
        </w:rPr>
      </w:pPr>
      <w:r>
        <w:rPr>
          <w:rFonts w:ascii="Times New Roman" w:hAnsi="Times New Roman"/>
          <w:b/>
          <w:color w:val="auto"/>
          <w:sz w:val="24"/>
          <w:szCs w:val="24"/>
        </w:rPr>
        <w:t>Table of Contents</w:t>
      </w:r>
    </w:p>
    <w:p w:rsidR="00215689" w:rsidRDefault="00215689" w:rsidP="00215689">
      <w:pPr>
        <w:pStyle w:val="TOC1"/>
        <w:tabs>
          <w:tab w:val="right" w:leader="dot" w:pos="9010"/>
        </w:tabs>
      </w:pPr>
      <w:r>
        <w:rPr>
          <w:rFonts w:ascii="Calibri Light" w:eastAsia="MS Gothic" w:hAnsi="Calibri Light" w:cs="Times New Roman"/>
          <w:color w:val="2E74B5"/>
          <w:sz w:val="32"/>
          <w:szCs w:val="32"/>
        </w:rPr>
        <w:fldChar w:fldCharType="begin"/>
      </w:r>
      <w:r>
        <w:instrText xml:space="preserve"> TOC \o "1-3" \h </w:instrText>
      </w:r>
      <w:r>
        <w:rPr>
          <w:rFonts w:ascii="Calibri Light" w:eastAsia="MS Gothic" w:hAnsi="Calibri Light" w:cs="Times New Roman"/>
          <w:color w:val="2E74B5"/>
          <w:sz w:val="32"/>
          <w:szCs w:val="32"/>
        </w:rPr>
        <w:fldChar w:fldCharType="separate"/>
      </w:r>
      <w:r>
        <w:rPr>
          <w:rFonts w:ascii="Times New Roman" w:hAnsi="Times New Roman" w:cs="Times New Roman"/>
          <w:sz w:val="24"/>
          <w:szCs w:val="24"/>
        </w:rPr>
        <w:t xml:space="preserve">introduction </w:t>
      </w:r>
    </w:p>
    <w:p w:rsidR="00215689" w:rsidRDefault="00215689" w:rsidP="00215689">
      <w:pPr>
        <w:pStyle w:val="TOC1"/>
        <w:tabs>
          <w:tab w:val="right" w:leader="dot" w:pos="9010"/>
        </w:tabs>
      </w:pPr>
      <w:hyperlink r:id="rId6" w:history="1">
        <w:r>
          <w:rPr>
            <w:rStyle w:val="Hyperlink"/>
            <w:rFonts w:ascii="Times New Roman" w:hAnsi="Times New Roman" w:cs="Times New Roman"/>
            <w:sz w:val="24"/>
            <w:szCs w:val="24"/>
          </w:rPr>
          <w:t>1-Chapter One: Introduction to Breast cancer</w:t>
        </w:r>
        <w:r>
          <w:rPr>
            <w:rFonts w:ascii="Times New Roman" w:hAnsi="Times New Roman" w:cs="Times New Roman"/>
            <w:sz w:val="24"/>
            <w:szCs w:val="24"/>
          </w:rPr>
          <w:tab/>
          <w:t>6</w:t>
        </w:r>
      </w:hyperlink>
    </w:p>
    <w:p w:rsidR="00215689" w:rsidRDefault="00215689" w:rsidP="00215689">
      <w:pPr>
        <w:pStyle w:val="TOC2"/>
        <w:tabs>
          <w:tab w:val="right" w:leader="dot" w:pos="9010"/>
        </w:tabs>
      </w:pPr>
      <w:hyperlink r:id="rId7" w:history="1">
        <w:r>
          <w:rPr>
            <w:rStyle w:val="Hyperlink"/>
            <w:rFonts w:ascii="Times New Roman" w:hAnsi="Times New Roman" w:cs="Times New Roman"/>
            <w:sz w:val="24"/>
            <w:szCs w:val="24"/>
          </w:rPr>
          <w:t>1-1 Breast cancer staging</w:t>
        </w:r>
        <w:r>
          <w:rPr>
            <w:rFonts w:ascii="Times New Roman" w:hAnsi="Times New Roman" w:cs="Times New Roman"/>
            <w:sz w:val="24"/>
            <w:szCs w:val="24"/>
          </w:rPr>
          <w:tab/>
          <w:t>6</w:t>
        </w:r>
      </w:hyperlink>
    </w:p>
    <w:p w:rsidR="00215689" w:rsidRDefault="00215689" w:rsidP="00215689">
      <w:pPr>
        <w:pStyle w:val="TOC2"/>
        <w:tabs>
          <w:tab w:val="right" w:leader="dot" w:pos="9010"/>
        </w:tabs>
      </w:pPr>
      <w:hyperlink r:id="rId8" w:history="1">
        <w:r>
          <w:rPr>
            <w:rStyle w:val="Hyperlink"/>
            <w:rFonts w:ascii="Times New Roman" w:hAnsi="Times New Roman" w:cs="Times New Roman"/>
            <w:sz w:val="24"/>
            <w:szCs w:val="24"/>
          </w:rPr>
          <w:t>1-2 Breast cancer Types</w:t>
        </w:r>
        <w:r>
          <w:rPr>
            <w:rFonts w:ascii="Times New Roman" w:hAnsi="Times New Roman" w:cs="Times New Roman"/>
            <w:sz w:val="24"/>
            <w:szCs w:val="24"/>
          </w:rPr>
          <w:tab/>
          <w:t>7</w:t>
        </w:r>
      </w:hyperlink>
    </w:p>
    <w:p w:rsidR="00215689" w:rsidRDefault="00215689" w:rsidP="00215689">
      <w:pPr>
        <w:pStyle w:val="TOC2"/>
        <w:tabs>
          <w:tab w:val="right" w:leader="dot" w:pos="9010"/>
        </w:tabs>
      </w:pPr>
      <w:hyperlink r:id="rId9" w:history="1">
        <w:r>
          <w:rPr>
            <w:rStyle w:val="Hyperlink"/>
            <w:rFonts w:ascii="Times New Roman" w:hAnsi="Times New Roman" w:cs="Times New Roman"/>
            <w:sz w:val="24"/>
            <w:szCs w:val="24"/>
          </w:rPr>
          <w:t>1-3 Treatments for breast cancer</w:t>
        </w:r>
        <w:r>
          <w:rPr>
            <w:rFonts w:ascii="Times New Roman" w:hAnsi="Times New Roman" w:cs="Times New Roman"/>
            <w:sz w:val="24"/>
            <w:szCs w:val="24"/>
          </w:rPr>
          <w:tab/>
          <w:t>8</w:t>
        </w:r>
      </w:hyperlink>
    </w:p>
    <w:p w:rsidR="00215689" w:rsidRDefault="00215689" w:rsidP="00215689">
      <w:pPr>
        <w:pStyle w:val="TOC2"/>
        <w:tabs>
          <w:tab w:val="right" w:leader="dot" w:pos="9010"/>
        </w:tabs>
      </w:pPr>
      <w:hyperlink r:id="rId10" w:history="1">
        <w:r>
          <w:rPr>
            <w:rStyle w:val="Hyperlink"/>
            <w:rFonts w:ascii="Times New Roman" w:hAnsi="Times New Roman" w:cs="Times New Roman"/>
            <w:sz w:val="24"/>
            <w:szCs w:val="24"/>
          </w:rPr>
          <w:t>1-5 HER2+ overexpression</w:t>
        </w:r>
        <w:r>
          <w:rPr>
            <w:rFonts w:ascii="Times New Roman" w:hAnsi="Times New Roman" w:cs="Times New Roman"/>
            <w:sz w:val="24"/>
            <w:szCs w:val="24"/>
          </w:rPr>
          <w:tab/>
          <w:t>9</w:t>
        </w:r>
      </w:hyperlink>
    </w:p>
    <w:p w:rsidR="00215689" w:rsidRDefault="00215689" w:rsidP="00215689">
      <w:pPr>
        <w:pStyle w:val="TOC1"/>
        <w:tabs>
          <w:tab w:val="right" w:leader="dot" w:pos="9010"/>
        </w:tabs>
      </w:pPr>
      <w:hyperlink r:id="rId11" w:history="1">
        <w:r>
          <w:rPr>
            <w:rStyle w:val="Hyperlink"/>
            <w:rFonts w:ascii="Times New Roman" w:hAnsi="Times New Roman" w:cs="Times New Roman"/>
            <w:sz w:val="24"/>
            <w:szCs w:val="24"/>
          </w:rPr>
          <w:t>2-Chapter Two: Introduction to Monoclonal Antibodies</w:t>
        </w:r>
        <w:r>
          <w:rPr>
            <w:rFonts w:ascii="Times New Roman" w:hAnsi="Times New Roman" w:cs="Times New Roman"/>
            <w:sz w:val="24"/>
            <w:szCs w:val="24"/>
          </w:rPr>
          <w:tab/>
          <w:t>10</w:t>
        </w:r>
      </w:hyperlink>
    </w:p>
    <w:p w:rsidR="00215689" w:rsidRDefault="00215689" w:rsidP="00215689">
      <w:pPr>
        <w:pStyle w:val="TOC2"/>
        <w:tabs>
          <w:tab w:val="right" w:leader="dot" w:pos="9010"/>
        </w:tabs>
      </w:pPr>
      <w:hyperlink r:id="rId12" w:history="1">
        <w:r>
          <w:rPr>
            <w:rStyle w:val="Hyperlink"/>
            <w:rFonts w:ascii="Times New Roman" w:hAnsi="Times New Roman" w:cs="Times New Roman"/>
            <w:sz w:val="24"/>
            <w:szCs w:val="24"/>
          </w:rPr>
          <w:t>2-5 History of using monoclonal antibodies in therapy</w:t>
        </w:r>
        <w:r>
          <w:rPr>
            <w:rFonts w:ascii="Times New Roman" w:hAnsi="Times New Roman" w:cs="Times New Roman"/>
            <w:sz w:val="24"/>
            <w:szCs w:val="24"/>
          </w:rPr>
          <w:tab/>
          <w:t>10</w:t>
        </w:r>
      </w:hyperlink>
    </w:p>
    <w:p w:rsidR="00215689" w:rsidRDefault="00215689" w:rsidP="00215689">
      <w:pPr>
        <w:pStyle w:val="TOC2"/>
        <w:tabs>
          <w:tab w:val="right" w:leader="dot" w:pos="9010"/>
        </w:tabs>
      </w:pPr>
      <w:hyperlink r:id="rId13" w:history="1">
        <w:r>
          <w:rPr>
            <w:rStyle w:val="Hyperlink"/>
            <w:rFonts w:ascii="Times New Roman" w:hAnsi="Times New Roman" w:cs="Times New Roman"/>
            <w:sz w:val="24"/>
            <w:szCs w:val="24"/>
          </w:rPr>
          <w:t>2-2 Types of therputeic Monoclonal antibodies</w:t>
        </w:r>
        <w:r>
          <w:rPr>
            <w:rFonts w:ascii="Times New Roman" w:hAnsi="Times New Roman" w:cs="Times New Roman"/>
            <w:sz w:val="24"/>
            <w:szCs w:val="24"/>
          </w:rPr>
          <w:tab/>
          <w:t>10</w:t>
        </w:r>
      </w:hyperlink>
    </w:p>
    <w:p w:rsidR="00215689" w:rsidRDefault="00215689" w:rsidP="00215689">
      <w:pPr>
        <w:pStyle w:val="TOC2"/>
        <w:tabs>
          <w:tab w:val="right" w:leader="dot" w:pos="9010"/>
        </w:tabs>
      </w:pPr>
      <w:hyperlink r:id="rId14" w:history="1">
        <w:r>
          <w:rPr>
            <w:rStyle w:val="Hyperlink"/>
            <w:rFonts w:ascii="Times New Roman" w:hAnsi="Times New Roman" w:cs="Times New Roman"/>
            <w:sz w:val="24"/>
            <w:szCs w:val="24"/>
          </w:rPr>
          <w:t>2-3 Engineering monoclonal antibodies</w:t>
        </w:r>
        <w:r>
          <w:rPr>
            <w:rFonts w:ascii="Times New Roman" w:hAnsi="Times New Roman" w:cs="Times New Roman"/>
            <w:sz w:val="24"/>
            <w:szCs w:val="24"/>
          </w:rPr>
          <w:tab/>
          <w:t>10</w:t>
        </w:r>
      </w:hyperlink>
    </w:p>
    <w:p w:rsidR="00215689" w:rsidRDefault="00215689" w:rsidP="00215689">
      <w:pPr>
        <w:pStyle w:val="TOC2"/>
        <w:tabs>
          <w:tab w:val="right" w:leader="dot" w:pos="9010"/>
        </w:tabs>
      </w:pPr>
      <w:hyperlink r:id="rId15" w:history="1">
        <w:r>
          <w:rPr>
            <w:rStyle w:val="Hyperlink"/>
            <w:rFonts w:ascii="Times New Roman" w:hAnsi="Times New Roman" w:cs="Times New Roman"/>
            <w:sz w:val="24"/>
            <w:szCs w:val="24"/>
          </w:rPr>
          <w:t>2-4 Monoclonal antibodies as adjuvants</w:t>
        </w:r>
        <w:r>
          <w:rPr>
            <w:rFonts w:ascii="Times New Roman" w:hAnsi="Times New Roman" w:cs="Times New Roman"/>
            <w:sz w:val="24"/>
            <w:szCs w:val="24"/>
          </w:rPr>
          <w:tab/>
          <w:t>10</w:t>
        </w:r>
      </w:hyperlink>
    </w:p>
    <w:p w:rsidR="00215689" w:rsidRDefault="00215689" w:rsidP="00215689">
      <w:pPr>
        <w:pStyle w:val="TOC2"/>
        <w:tabs>
          <w:tab w:val="right" w:leader="dot" w:pos="9010"/>
        </w:tabs>
      </w:pPr>
      <w:hyperlink r:id="rId16" w:history="1">
        <w:r>
          <w:rPr>
            <w:rStyle w:val="Hyperlink"/>
            <w:rFonts w:ascii="Times New Roman" w:hAnsi="Times New Roman" w:cs="Times New Roman"/>
            <w:sz w:val="24"/>
            <w:szCs w:val="24"/>
          </w:rPr>
          <w:t>2-4 problems and future prospects of monoclonal antibodies</w:t>
        </w:r>
        <w:r>
          <w:rPr>
            <w:rFonts w:ascii="Times New Roman" w:hAnsi="Times New Roman" w:cs="Times New Roman"/>
            <w:sz w:val="24"/>
            <w:szCs w:val="24"/>
          </w:rPr>
          <w:tab/>
          <w:t>10</w:t>
        </w:r>
      </w:hyperlink>
    </w:p>
    <w:p w:rsidR="00215689" w:rsidRDefault="00215689" w:rsidP="00215689">
      <w:pPr>
        <w:pStyle w:val="TOC1"/>
        <w:tabs>
          <w:tab w:val="right" w:leader="dot" w:pos="9010"/>
        </w:tabs>
      </w:pPr>
      <w:hyperlink r:id="rId17" w:history="1">
        <w:r>
          <w:rPr>
            <w:rStyle w:val="Hyperlink"/>
            <w:rFonts w:ascii="Times New Roman" w:hAnsi="Times New Roman" w:cs="Times New Roman"/>
            <w:sz w:val="24"/>
            <w:szCs w:val="24"/>
          </w:rPr>
          <w:t xml:space="preserve">3- Chapter Three: Targeted monoclonal antibodies for HER/2 overexpression </w:t>
        </w:r>
        <w:r>
          <w:rPr>
            <w:rFonts w:ascii="Times New Roman" w:hAnsi="Times New Roman" w:cs="Times New Roman"/>
            <w:sz w:val="24"/>
            <w:szCs w:val="24"/>
          </w:rPr>
          <w:tab/>
          <w:t>11</w:t>
        </w:r>
      </w:hyperlink>
    </w:p>
    <w:p w:rsidR="00215689" w:rsidRDefault="00215689" w:rsidP="00215689">
      <w:pPr>
        <w:pStyle w:val="TOC2"/>
        <w:tabs>
          <w:tab w:val="right" w:leader="dot" w:pos="9010"/>
        </w:tabs>
      </w:pPr>
      <w:hyperlink r:id="rId18" w:history="1">
        <w:r>
          <w:rPr>
            <w:rStyle w:val="Hyperlink"/>
            <w:rFonts w:ascii="Times New Roman" w:hAnsi="Times New Roman" w:cs="Times New Roman"/>
            <w:sz w:val="24"/>
            <w:szCs w:val="24"/>
          </w:rPr>
          <w:t>3-1 Trastuzumab: the first agent targeting HER2 positive breast cancer</w:t>
        </w:r>
        <w:r>
          <w:rPr>
            <w:rFonts w:ascii="Times New Roman" w:hAnsi="Times New Roman" w:cs="Times New Roman"/>
            <w:sz w:val="24"/>
            <w:szCs w:val="24"/>
          </w:rPr>
          <w:tab/>
          <w:t>11</w:t>
        </w:r>
      </w:hyperlink>
    </w:p>
    <w:p w:rsidR="00215689" w:rsidRDefault="00215689" w:rsidP="00215689">
      <w:pPr>
        <w:pStyle w:val="TOC2"/>
        <w:tabs>
          <w:tab w:val="right" w:leader="dot" w:pos="9010"/>
        </w:tabs>
      </w:pPr>
      <w:hyperlink r:id="rId19" w:history="1">
        <w:r>
          <w:rPr>
            <w:rStyle w:val="Hyperlink"/>
            <w:rFonts w:ascii="Times New Roman" w:hAnsi="Times New Roman" w:cs="Times New Roman"/>
            <w:sz w:val="24"/>
            <w:szCs w:val="24"/>
          </w:rPr>
          <w:t xml:space="preserve">3-2 Mechanism of action of anti-HER2 directed therapies </w:t>
        </w:r>
        <w:r>
          <w:rPr>
            <w:rStyle w:val="Hyperlink"/>
            <w:rFonts w:ascii="Times New Roman" w:hAnsi="Times New Roman" w:cs="Times New Roman"/>
            <w:sz w:val="24"/>
            <w:szCs w:val="24"/>
          </w:rPr>
          <w:tab/>
          <w:t>11</w:t>
        </w:r>
      </w:hyperlink>
    </w:p>
    <w:p w:rsidR="00215689" w:rsidRDefault="00215689" w:rsidP="00215689">
      <w:pPr>
        <w:pStyle w:val="TOC2"/>
        <w:tabs>
          <w:tab w:val="right" w:leader="dot" w:pos="9010"/>
        </w:tabs>
      </w:pPr>
      <w:hyperlink r:id="rId20" w:history="1">
        <w:r>
          <w:rPr>
            <w:rStyle w:val="Hyperlink"/>
            <w:rFonts w:ascii="Times New Roman" w:hAnsi="Times New Roman" w:cs="Times New Roman"/>
            <w:sz w:val="24"/>
            <w:szCs w:val="24"/>
          </w:rPr>
          <w:t>3-3 Trastuzumab-DM1</w:t>
        </w:r>
        <w:r>
          <w:rPr>
            <w:rFonts w:ascii="Times New Roman" w:hAnsi="Times New Roman" w:cs="Times New Roman"/>
            <w:sz w:val="24"/>
            <w:szCs w:val="24"/>
          </w:rPr>
          <w:tab/>
          <w:t>11</w:t>
        </w:r>
      </w:hyperlink>
    </w:p>
    <w:p w:rsidR="00215689" w:rsidRDefault="00215689" w:rsidP="00215689">
      <w:pPr>
        <w:pStyle w:val="TOC2"/>
        <w:tabs>
          <w:tab w:val="right" w:leader="dot" w:pos="9010"/>
        </w:tabs>
      </w:pPr>
      <w:hyperlink r:id="rId21" w:history="1">
        <w:r>
          <w:rPr>
            <w:rStyle w:val="Hyperlink"/>
            <w:rFonts w:ascii="Times New Roman" w:hAnsi="Times New Roman" w:cs="Times New Roman"/>
            <w:sz w:val="24"/>
            <w:szCs w:val="24"/>
          </w:rPr>
          <w:t>3-4 Synergy of trastuzum with lapatinib</w:t>
        </w:r>
        <w:r>
          <w:rPr>
            <w:rFonts w:ascii="Times New Roman" w:hAnsi="Times New Roman" w:cs="Times New Roman"/>
            <w:sz w:val="24"/>
            <w:szCs w:val="24"/>
          </w:rPr>
          <w:tab/>
          <w:t>11</w:t>
        </w:r>
      </w:hyperlink>
    </w:p>
    <w:p w:rsidR="00215689" w:rsidRDefault="00215689" w:rsidP="00215689">
      <w:pPr>
        <w:pStyle w:val="TOC2"/>
        <w:tabs>
          <w:tab w:val="right" w:leader="dot" w:pos="9010"/>
        </w:tabs>
      </w:pPr>
      <w:hyperlink r:id="rId22" w:history="1">
        <w:r>
          <w:rPr>
            <w:rStyle w:val="Hyperlink"/>
            <w:rFonts w:ascii="Times New Roman" w:hAnsi="Times New Roman" w:cs="Times New Roman"/>
            <w:sz w:val="24"/>
            <w:szCs w:val="24"/>
          </w:rPr>
          <w:t>3-5 Pertuzumab</w:t>
        </w:r>
        <w:r>
          <w:rPr>
            <w:rFonts w:ascii="Times New Roman" w:hAnsi="Times New Roman" w:cs="Times New Roman"/>
            <w:sz w:val="24"/>
            <w:szCs w:val="24"/>
          </w:rPr>
          <w:tab/>
          <w:t>11</w:t>
        </w:r>
      </w:hyperlink>
    </w:p>
    <w:p w:rsidR="00215689" w:rsidRDefault="00215689" w:rsidP="00215689">
      <w:pPr>
        <w:pStyle w:val="TOC2"/>
        <w:tabs>
          <w:tab w:val="right" w:leader="dot" w:pos="9010"/>
        </w:tabs>
      </w:pPr>
      <w:hyperlink r:id="rId23" w:history="1">
        <w:r>
          <w:rPr>
            <w:rStyle w:val="Hyperlink"/>
            <w:rFonts w:ascii="Times New Roman" w:hAnsi="Times New Roman" w:cs="Times New Roman"/>
            <w:sz w:val="24"/>
            <w:szCs w:val="24"/>
          </w:rPr>
          <w:t>3-6 Newer HER2 drug therapies</w:t>
        </w:r>
        <w:r>
          <w:rPr>
            <w:rFonts w:ascii="Times New Roman" w:hAnsi="Times New Roman" w:cs="Times New Roman"/>
            <w:sz w:val="24"/>
            <w:szCs w:val="24"/>
          </w:rPr>
          <w:tab/>
          <w:t>11</w:t>
        </w:r>
      </w:hyperlink>
    </w:p>
    <w:p w:rsidR="00215689" w:rsidRDefault="00215689" w:rsidP="00215689">
      <w:pPr>
        <w:pStyle w:val="TOC2"/>
        <w:tabs>
          <w:tab w:val="right" w:leader="dot" w:pos="9010"/>
        </w:tabs>
      </w:pPr>
      <w:hyperlink r:id="rId24" w:history="1">
        <w:r>
          <w:rPr>
            <w:rStyle w:val="Hyperlink"/>
            <w:rFonts w:ascii="Times New Roman" w:hAnsi="Times New Roman" w:cs="Times New Roman"/>
            <w:sz w:val="24"/>
            <w:szCs w:val="24"/>
          </w:rPr>
          <w:t>3-7 Trastuzumab in combination with chemotherapy versus chemotherapy alone</w:t>
        </w:r>
        <w:r>
          <w:rPr>
            <w:rFonts w:ascii="Times New Roman" w:hAnsi="Times New Roman" w:cs="Times New Roman"/>
            <w:sz w:val="24"/>
            <w:szCs w:val="24"/>
          </w:rPr>
          <w:tab/>
          <w:t>11</w:t>
        </w:r>
      </w:hyperlink>
    </w:p>
    <w:p w:rsidR="00215689" w:rsidRDefault="00215689" w:rsidP="00215689">
      <w:pPr>
        <w:pStyle w:val="TOC2"/>
        <w:tabs>
          <w:tab w:val="right" w:leader="dot" w:pos="9010"/>
        </w:tabs>
      </w:pPr>
      <w:hyperlink r:id="rId25" w:history="1">
        <w:r>
          <w:rPr>
            <w:rStyle w:val="Hyperlink"/>
            <w:rFonts w:ascii="Times New Roman" w:hAnsi="Times New Roman" w:cs="Times New Roman"/>
            <w:sz w:val="24"/>
            <w:szCs w:val="24"/>
          </w:rPr>
          <w:t>3-8 Clinical trials</w:t>
        </w:r>
        <w:r>
          <w:rPr>
            <w:rFonts w:ascii="Times New Roman" w:hAnsi="Times New Roman" w:cs="Times New Roman"/>
            <w:sz w:val="24"/>
            <w:szCs w:val="24"/>
          </w:rPr>
          <w:tab/>
          <w:t>11</w:t>
        </w:r>
      </w:hyperlink>
    </w:p>
    <w:p w:rsidR="00215689" w:rsidRDefault="00215689" w:rsidP="00215689">
      <w:pPr>
        <w:pStyle w:val="TOC2"/>
        <w:tabs>
          <w:tab w:val="right" w:leader="dot" w:pos="9010"/>
        </w:tabs>
      </w:pPr>
      <w:hyperlink r:id="rId26" w:history="1">
        <w:r>
          <w:rPr>
            <w:rStyle w:val="Hyperlink"/>
            <w:rFonts w:ascii="Times New Roman" w:hAnsi="Times New Roman" w:cs="Times New Roman"/>
            <w:sz w:val="24"/>
            <w:szCs w:val="24"/>
          </w:rPr>
          <w:t>3-9 Overall safety</w:t>
        </w:r>
        <w:r>
          <w:rPr>
            <w:rFonts w:ascii="Times New Roman" w:hAnsi="Times New Roman" w:cs="Times New Roman"/>
            <w:sz w:val="24"/>
            <w:szCs w:val="24"/>
          </w:rPr>
          <w:tab/>
          <w:t>11</w:t>
        </w:r>
      </w:hyperlink>
    </w:p>
    <w:p w:rsidR="00215689" w:rsidRDefault="00215689" w:rsidP="00215689">
      <w:pPr>
        <w:pStyle w:val="TOC1"/>
        <w:tabs>
          <w:tab w:val="right" w:leader="dot" w:pos="9010"/>
        </w:tabs>
      </w:pPr>
      <w:hyperlink r:id="rId27" w:history="1">
        <w:r>
          <w:rPr>
            <w:rStyle w:val="Hyperlink"/>
            <w:rFonts w:ascii="Times New Roman" w:hAnsi="Times New Roman" w:cs="Times New Roman"/>
            <w:sz w:val="24"/>
            <w:szCs w:val="24"/>
          </w:rPr>
          <w:t>Conclusion:</w:t>
        </w:r>
        <w:r>
          <w:rPr>
            <w:rFonts w:ascii="Times New Roman" w:hAnsi="Times New Roman" w:cs="Times New Roman"/>
            <w:sz w:val="24"/>
            <w:szCs w:val="24"/>
          </w:rPr>
          <w:tab/>
          <w:t>12</w:t>
        </w:r>
      </w:hyperlink>
    </w:p>
    <w:p w:rsidR="00215689" w:rsidRDefault="00215689" w:rsidP="00215689">
      <w:pPr>
        <w:pStyle w:val="TOC1"/>
        <w:tabs>
          <w:tab w:val="right" w:leader="dot" w:pos="9010"/>
        </w:tabs>
      </w:pPr>
      <w:hyperlink r:id="rId28" w:history="1">
        <w:r>
          <w:rPr>
            <w:rStyle w:val="Hyperlink"/>
            <w:rFonts w:ascii="Times New Roman" w:hAnsi="Times New Roman" w:cs="Times New Roman"/>
            <w:sz w:val="24"/>
            <w:szCs w:val="24"/>
          </w:rPr>
          <w:t>References:</w:t>
        </w:r>
        <w:r>
          <w:rPr>
            <w:rFonts w:ascii="Times New Roman" w:hAnsi="Times New Roman" w:cs="Times New Roman"/>
            <w:sz w:val="24"/>
            <w:szCs w:val="24"/>
          </w:rPr>
          <w:tab/>
          <w:t>13</w:t>
        </w:r>
      </w:hyperlink>
    </w:p>
    <w:p w:rsidR="00215689" w:rsidRDefault="00215689" w:rsidP="00215689">
      <w:r>
        <w:fldChar w:fldCharType="end"/>
      </w:r>
    </w:p>
    <w:p w:rsidR="00215689" w:rsidRDefault="00215689" w:rsidP="00215689">
      <w:pPr>
        <w:spacing w:before="100" w:after="100" w:line="480" w:lineRule="auto"/>
        <w:jc w:val="center"/>
        <w:rPr>
          <w:rFonts w:ascii="Times New Roman" w:hAnsi="Times New Roman" w:cs="Times New Roman"/>
          <w:sz w:val="24"/>
          <w:szCs w:val="24"/>
        </w:rPr>
      </w:pPr>
    </w:p>
    <w:p w:rsidR="00215689" w:rsidRDefault="00215689" w:rsidP="00215689">
      <w:pPr>
        <w:pStyle w:val="Title"/>
        <w:spacing w:before="100" w:after="100" w:line="480" w:lineRule="auto"/>
        <w:rPr>
          <w:rFonts w:ascii="Times New Roman" w:hAnsi="Times New Roman"/>
          <w:sz w:val="24"/>
          <w:szCs w:val="24"/>
        </w:rPr>
      </w:pPr>
    </w:p>
    <w:p w:rsidR="00215689" w:rsidRDefault="00215689" w:rsidP="00215689">
      <w:pPr>
        <w:pStyle w:val="Title"/>
        <w:spacing w:before="100" w:after="100" w:line="480" w:lineRule="auto"/>
        <w:jc w:val="center"/>
        <w:rPr>
          <w:rFonts w:ascii="Times New Roman" w:hAnsi="Times New Roman"/>
          <w:sz w:val="24"/>
          <w:szCs w:val="24"/>
        </w:rPr>
      </w:pPr>
    </w:p>
    <w:p w:rsidR="00215689" w:rsidRDefault="00215689" w:rsidP="00215689">
      <w:pPr>
        <w:pStyle w:val="Title"/>
        <w:spacing w:before="100" w:after="100" w:line="480" w:lineRule="auto"/>
        <w:jc w:val="center"/>
        <w:rPr>
          <w:rFonts w:ascii="Times New Roman" w:hAnsi="Times New Roman"/>
          <w:sz w:val="24"/>
          <w:szCs w:val="24"/>
        </w:rPr>
      </w:pPr>
    </w:p>
    <w:p w:rsidR="00215689" w:rsidRDefault="00215689" w:rsidP="00215689">
      <w:pPr>
        <w:pStyle w:val="Title"/>
        <w:spacing w:before="100" w:after="100" w:line="480" w:lineRule="auto"/>
        <w:jc w:val="center"/>
      </w:pPr>
      <w:r>
        <w:rPr>
          <w:rFonts w:ascii="Times New Roman" w:hAnsi="Times New Roman"/>
          <w:sz w:val="24"/>
          <w:szCs w:val="24"/>
        </w:rPr>
        <w:t>CHAPTER 1</w:t>
      </w:r>
    </w:p>
    <w:p w:rsidR="00215689" w:rsidRDefault="00215689" w:rsidP="00215689">
      <w:pPr>
        <w:pStyle w:val="Subtitle"/>
        <w:spacing w:before="100" w:after="100" w:line="480" w:lineRule="auto"/>
      </w:pPr>
      <w:r>
        <w:rPr>
          <w:rFonts w:ascii="Times New Roman" w:hAnsi="Times New Roman"/>
          <w:b/>
          <w:color w:val="auto"/>
          <w:sz w:val="24"/>
          <w:szCs w:val="24"/>
        </w:rPr>
        <w:t>Introduction</w:t>
      </w:r>
      <w:bookmarkEnd w:id="0"/>
      <w:r>
        <w:rPr>
          <w:rFonts w:ascii="Times New Roman" w:hAnsi="Times New Roman"/>
          <w:color w:val="auto"/>
          <w:sz w:val="24"/>
          <w:szCs w:val="24"/>
        </w:rPr>
        <w:tab/>
      </w:r>
    </w:p>
    <w:p w:rsidR="00215689" w:rsidRDefault="00215689" w:rsidP="00215689">
      <w:pPr>
        <w:autoSpaceDE w:val="0"/>
        <w:spacing w:before="100" w:after="100" w:line="480" w:lineRule="auto"/>
        <w:ind w:firstLine="720"/>
      </w:pPr>
      <w:r>
        <w:rPr>
          <w:rFonts w:ascii="Times New Roman" w:hAnsi="Times New Roman" w:cs="Times New Roman"/>
          <w:sz w:val="24"/>
          <w:szCs w:val="24"/>
          <w:shd w:val="clear" w:color="auto" w:fill="FFFFFF"/>
        </w:rPr>
        <w:t xml:space="preserve">The most common malignancy and second leading cause of cancer-related death in women is breast cancer </w:t>
      </w:r>
      <w:r>
        <w:rPr>
          <w:rFonts w:ascii="Times New Roman" w:hAnsi="Times New Roman" w:cs="Times New Roman"/>
          <w:sz w:val="24"/>
          <w:szCs w:val="24"/>
        </w:rPr>
        <w:t>(Siegel et al., 2015)</w:t>
      </w:r>
      <w:r>
        <w:rPr>
          <w:rFonts w:ascii="Times New Roman" w:hAnsi="Times New Roman" w:cs="Times New Roman"/>
          <w:sz w:val="24"/>
          <w:szCs w:val="24"/>
          <w:shd w:val="clear" w:color="auto" w:fill="FFFFFF"/>
        </w:rPr>
        <w:t xml:space="preserve">. Collected data suggested that in most West </w:t>
      </w:r>
      <w:r>
        <w:rPr>
          <w:rFonts w:ascii="Times New Roman" w:hAnsi="Times New Roman" w:cs="Times New Roman"/>
          <w:sz w:val="24"/>
          <w:szCs w:val="24"/>
          <w:shd w:val="clear" w:color="auto" w:fill="FFFFFF"/>
        </w:rPr>
        <w:lastRenderedPageBreak/>
        <w:t xml:space="preserve">European countries, life expectancy for patients suffering from breast cancer is increasing, recently (La Vecchia et al., 2010, Early Breast Cancer Trialists’ Collaborative Group (EBCTCG) et al., 2012), as a result of improved screening programs and adjuvant therapies (Berry et al., 2005) but also by more advances in the treatment of metastatic cancers (Giordano et al., 2004). </w:t>
      </w:r>
      <w:r>
        <w:rPr>
          <w:rFonts w:ascii="Times New Roman" w:hAnsi="Times New Roman" w:cs="Times New Roman"/>
          <w:sz w:val="24"/>
          <w:szCs w:val="24"/>
        </w:rPr>
        <w:t>According to Cambridge University, Breast cancer is an ancient disease and was described by the Egyptians 3000 years ago. Afterwards many articles about breast cancer and its management were written by Greek and Roman physicians, back then removal by surgery was the oldest method of treating breast cancer. And then several treatments followed, such as chemotherapy, and hormonal therapy. Many of those are still used nowadays, but also newer therapies emerged with the evolution of science.</w:t>
      </w:r>
    </w:p>
    <w:p w:rsidR="00215689" w:rsidRDefault="00215689" w:rsidP="00215689">
      <w:pPr>
        <w:autoSpaceDE w:val="0"/>
        <w:spacing w:before="100" w:after="100" w:line="480" w:lineRule="auto"/>
        <w:ind w:firstLine="720"/>
      </w:pPr>
      <w:r>
        <w:rPr>
          <w:rFonts w:ascii="Times New Roman" w:hAnsi="Times New Roman" w:cs="Times New Roman"/>
          <w:sz w:val="24"/>
          <w:szCs w:val="24"/>
        </w:rPr>
        <w:t xml:space="preserve">Today, Targeted Therapy is being </w:t>
      </w:r>
      <w:r>
        <w:rPr>
          <w:rFonts w:ascii="Times New Roman" w:hAnsi="Times New Roman" w:cs="Times New Roman"/>
          <w:sz w:val="24"/>
          <w:szCs w:val="24"/>
          <w:shd w:val="clear" w:color="auto" w:fill="FFFFFF"/>
        </w:rPr>
        <w:t xml:space="preserve">done, which simply is about stimulating the patient's immune system to attack the malignant tumor cells and the prevention of tumor growth by blocking specific cell receptors. This is </w:t>
      </w:r>
      <w:r>
        <w:rPr>
          <w:rFonts w:ascii="Times New Roman" w:hAnsi="Times New Roman" w:cs="Times New Roman"/>
          <w:sz w:val="24"/>
          <w:szCs w:val="24"/>
        </w:rPr>
        <w:t xml:space="preserve">mainly about drugs or substances that blocks the growth and spread of cancer by interfering with specific molecular targets that are involved in the growth, progression and spread of cancer. They are sometimes called molecularly therapies or precision medicine, it includes: hormone therapies signal transduction inhibitors, gene expression modulator, apoptosis inducer, angiogenesis inhibitor, immunotherapies and toxin delivery molecules (Dorte Lisbet Nielsen a,*, Michael Andersson b, Claus Kamby, 2008). The </w:t>
      </w:r>
      <w:r>
        <w:rPr>
          <w:rFonts w:ascii="Times New Roman" w:hAnsi="Times New Roman" w:cs="Times New Roman"/>
          <w:sz w:val="24"/>
          <w:szCs w:val="24"/>
          <w:shd w:val="clear" w:color="auto" w:fill="FFFFFF"/>
        </w:rPr>
        <w:t>modulation of immune system interaction with cancer cells through targeting of T cell receptors has developed as an influential new therapeutic strategy for tumor therapy and to enhance cancer vaccine efficiency (Scott. 2012).</w:t>
      </w:r>
    </w:p>
    <w:p w:rsidR="00215689" w:rsidRDefault="00215689" w:rsidP="00215689">
      <w:pPr>
        <w:spacing w:before="100" w:after="10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Breast Cancer specifically, the HER2 oncogene (human epidermal growth factor receptor), encrypts a tyrosine kinase receptor which is a strong mediator of cellular growth and </w:t>
      </w:r>
      <w:r>
        <w:rPr>
          <w:rFonts w:ascii="Times New Roman" w:hAnsi="Times New Roman" w:cs="Times New Roman"/>
          <w:sz w:val="24"/>
          <w:szCs w:val="24"/>
        </w:rPr>
        <w:lastRenderedPageBreak/>
        <w:t>proliferation in normal and malignant epithelial cells. Amplification of this gene is observed in up to 25% of breast cancers and has been shown a negative prognostic factor in breast cancer patients (Slamon et al., 1987; Prat and Baselga, 2008). This discovery led to the development and approval of the HER2-targeted therapy, “trastuzumab”, where after that, several other HER2-targeted therapeutics have been effectively considered and accepted for the treatment of HER2-positive breast cancer. It is now clear that the repetitive use of trastuzumab and other HER2-targeted agents has vividly helped in enhancing the prognosis associated with HER2-overexpressed breast cancer. (Drakaki. 2015).</w:t>
      </w:r>
    </w:p>
    <w:p w:rsidR="00215689" w:rsidRDefault="00215689" w:rsidP="00215689">
      <w:pPr>
        <w:spacing w:before="100" w:after="100" w:line="480" w:lineRule="auto"/>
        <w:ind w:firstLine="720"/>
        <w:rPr>
          <w:rFonts w:ascii="Times New Roman" w:hAnsi="Times New Roman" w:cs="Times New Roman"/>
          <w:sz w:val="24"/>
          <w:szCs w:val="24"/>
        </w:rPr>
      </w:pPr>
      <w:r>
        <w:rPr>
          <w:rFonts w:ascii="Times New Roman" w:hAnsi="Times New Roman" w:cs="Times New Roman"/>
          <w:sz w:val="24"/>
          <w:szCs w:val="24"/>
        </w:rPr>
        <w:t>According to Ross (2009), “HER-2 gene amplification and/or protein overexpression has been identified in 10%–34% of invasive breast cancers. Unlike several other epithelial malignancies, in breast cancer, HER-2 gene amplification is uniformly associated with HER-2 (p185neu) protein overexpression and the incidence of single copy overexpression is exceedingly rare. HER-2 gene amplification in breast cancer has been associated with increased cell proliferation, cell motility, tumor invasiveness, and progressive regional and distant metastases, accelerated angiogenesis, and reduced apoptosis. When classified by routine clino-pathologic parameters and compared with HER-2–negative tumors, HER-2–positive breast cancer is more often of intermediate or high histologic grade, more often lacking estrogen receptors (ERs) and progesterone receptors (PgRs) (ER and PgR negative), and featuring positive lymph node metastases at presentation. Detected either as gene amplification (by fluorescence in situ hybridization) or as protein expression (by immunohistochemistry) (Wolff et al., 2013; Ross et al., 2009).</w:t>
      </w:r>
    </w:p>
    <w:p w:rsidR="00215689" w:rsidRDefault="00215689" w:rsidP="00215689">
      <w:pPr>
        <w:spacing w:before="100" w:after="100"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 In the recent molecular classification of breast cancer, positive HER-2 status does not constitute a unique molecular category and is identified in both the “HER-2” and “luminal” tumor classes” (Ross 2009).</w:t>
      </w:r>
    </w:p>
    <w:p w:rsidR="00215689" w:rsidRDefault="00215689" w:rsidP="00215689">
      <w:pPr>
        <w:spacing w:before="100" w:after="100" w:line="480" w:lineRule="auto"/>
        <w:rPr>
          <w:rFonts w:ascii="Times New Roman" w:hAnsi="Times New Roman" w:cs="Times New Roman"/>
          <w:sz w:val="24"/>
          <w:szCs w:val="24"/>
        </w:rPr>
      </w:pPr>
      <w:r>
        <w:rPr>
          <w:rFonts w:ascii="Times New Roman" w:hAnsi="Times New Roman" w:cs="Times New Roman"/>
          <w:sz w:val="24"/>
          <w:szCs w:val="24"/>
        </w:rPr>
        <w:t xml:space="preserve">This research paper will serve as a literature review for the monoclonal Therapy for Breast Cancer, as it will explain it in details. Furthermore, the sections will be explained with pictures, and will highlight the latest technologies, and kinds of treatments established. </w:t>
      </w:r>
    </w:p>
    <w:p w:rsidR="00215689" w:rsidRDefault="00215689" w:rsidP="00215689">
      <w:pPr>
        <w:pStyle w:val="Subtitle"/>
        <w:spacing w:before="100" w:after="100" w:line="480" w:lineRule="auto"/>
        <w:rPr>
          <w:rFonts w:ascii="Times New Roman" w:hAnsi="Times New Roman"/>
          <w:b/>
          <w:color w:val="auto"/>
          <w:sz w:val="24"/>
          <w:szCs w:val="24"/>
        </w:rPr>
      </w:pPr>
    </w:p>
    <w:p w:rsidR="00215689" w:rsidRDefault="00215689" w:rsidP="00215689">
      <w:pPr>
        <w:pStyle w:val="Subtitle"/>
        <w:spacing w:before="100" w:after="100" w:line="480" w:lineRule="auto"/>
        <w:rPr>
          <w:rFonts w:ascii="Times New Roman" w:hAnsi="Times New Roman"/>
          <w:b/>
          <w:color w:val="auto"/>
          <w:sz w:val="24"/>
          <w:szCs w:val="24"/>
        </w:rPr>
      </w:pPr>
      <w:r>
        <w:rPr>
          <w:rFonts w:ascii="Times New Roman" w:hAnsi="Times New Roman"/>
          <w:b/>
          <w:color w:val="auto"/>
          <w:sz w:val="24"/>
          <w:szCs w:val="24"/>
        </w:rPr>
        <w:t xml:space="preserve">Breast cancer staging </w:t>
      </w:r>
    </w:p>
    <w:p w:rsidR="00215689" w:rsidRDefault="00215689" w:rsidP="00215689">
      <w:pPr>
        <w:spacing w:before="100" w:after="10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Breast cancer staging is often visible on a scale that ranges from 0 to IV. Stage 0 represents a non-invasive cancer situation which doesn’t spread over other cells, that is, cancerous cells remain in the breast area. Stage IV, on the other extreme, represent the most invasive cancer cells that spread over other body parts. Staging is realized by a doctor in carrying out a therapy and then gives a pathological report to the victim. </w:t>
      </w:r>
    </w:p>
    <w:p w:rsidR="00215689" w:rsidRDefault="00215689" w:rsidP="00215689">
      <w:pPr>
        <w:spacing w:before="100" w:after="10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cancer staging process is usually based on the following features; cancerous cells in the in the lymph nodes, spread out cells, invasiveness and the cancer size. In some occasions, the Doctor can use the terms – local, regional and distant – to describe cancer situations. </w:t>
      </w:r>
    </w:p>
    <w:p w:rsidR="00215689" w:rsidRDefault="00215689" w:rsidP="00215689">
      <w:pPr>
        <w:spacing w:before="100" w:after="100" w:line="480" w:lineRule="auto"/>
        <w:rPr>
          <w:rFonts w:ascii="Times New Roman" w:hAnsi="Times New Roman" w:cs="Times New Roman"/>
          <w:sz w:val="24"/>
          <w:szCs w:val="24"/>
        </w:rPr>
      </w:pPr>
      <w:r>
        <w:rPr>
          <w:rFonts w:ascii="Times New Roman" w:hAnsi="Times New Roman" w:cs="Times New Roman"/>
          <w:sz w:val="24"/>
          <w:szCs w:val="24"/>
        </w:rPr>
        <w:t xml:space="preserve">The staging process helps the doctor determine the most probable outcome of the diseases, which is prognosis, hence resolution on the kind of treatment that one needs. It also aids in the making of the pathology report as stated earlier. </w:t>
      </w:r>
    </w:p>
    <w:p w:rsidR="00215689" w:rsidRDefault="00215689" w:rsidP="00215689">
      <w:pPr>
        <w:spacing w:before="100" w:after="100" w:line="480" w:lineRule="auto"/>
        <w:rPr>
          <w:rFonts w:ascii="Times New Roman" w:hAnsi="Times New Roman" w:cs="Times New Roman"/>
          <w:sz w:val="24"/>
          <w:szCs w:val="24"/>
        </w:rPr>
      </w:pPr>
      <w:r>
        <w:rPr>
          <w:rFonts w:ascii="Times New Roman" w:hAnsi="Times New Roman" w:cs="Times New Roman"/>
          <w:sz w:val="24"/>
          <w:szCs w:val="24"/>
        </w:rPr>
        <w:t xml:space="preserve">A staging system based on tumor size, involvement of the lymph node, and where the cancerous cells metastasized/spreads (other body parts) is mostly used. It is denoted as TNM implying the </w:t>
      </w:r>
      <w:r>
        <w:rPr>
          <w:rFonts w:ascii="Times New Roman" w:hAnsi="Times New Roman" w:cs="Times New Roman"/>
          <w:sz w:val="24"/>
          <w:szCs w:val="24"/>
        </w:rPr>
        <w:lastRenderedPageBreak/>
        <w:t>involvement of Tumor (T), Lymph nodes (N) and Metastasized (M). This staging process is discussed below;</w:t>
      </w:r>
    </w:p>
    <w:p w:rsidR="00215689" w:rsidRDefault="00215689" w:rsidP="00215689">
      <w:pPr>
        <w:spacing w:before="100" w:after="100" w:line="480" w:lineRule="auto"/>
        <w:rPr>
          <w:rFonts w:ascii="Times New Roman" w:hAnsi="Times New Roman" w:cs="Times New Roman"/>
          <w:sz w:val="24"/>
          <w:szCs w:val="24"/>
        </w:rPr>
      </w:pPr>
      <w:r>
        <w:rPr>
          <w:rFonts w:ascii="Times New Roman" w:hAnsi="Times New Roman" w:cs="Times New Roman"/>
          <w:sz w:val="24"/>
          <w:szCs w:val="24"/>
        </w:rPr>
        <w:t>Stage 0: this is a non-invasive breast cancer situation, e.g. ductal carcinoma in situ (DCIS). A point of indecisiveness on the cancerous cells.</w:t>
      </w:r>
    </w:p>
    <w:p w:rsidR="00215689" w:rsidRDefault="00215689" w:rsidP="00215689">
      <w:pPr>
        <w:spacing w:before="100" w:after="100" w:line="480" w:lineRule="auto"/>
        <w:rPr>
          <w:rFonts w:ascii="Times New Roman" w:hAnsi="Times New Roman" w:cs="Times New Roman"/>
          <w:sz w:val="24"/>
          <w:szCs w:val="24"/>
        </w:rPr>
      </w:pPr>
      <w:r>
        <w:rPr>
          <w:rFonts w:ascii="Times New Roman" w:hAnsi="Times New Roman" w:cs="Times New Roman"/>
          <w:sz w:val="24"/>
          <w:szCs w:val="24"/>
        </w:rPr>
        <w:t>Stage I: this is a point of invasive breast cancer. It is either a stage 1A where the tumor size a bit developed to about 2 centimeters; it is within the breast area alone and 1B where underdeveloped cancer cells of less than 2 centimeters are present are present.</w:t>
      </w:r>
    </w:p>
    <w:p w:rsidR="00215689" w:rsidRDefault="00215689" w:rsidP="00215689">
      <w:pPr>
        <w:spacing w:before="100" w:after="100" w:line="480" w:lineRule="auto"/>
        <w:rPr>
          <w:rFonts w:ascii="Times New Roman" w:hAnsi="Times New Roman" w:cs="Times New Roman"/>
          <w:sz w:val="24"/>
          <w:szCs w:val="24"/>
        </w:rPr>
      </w:pPr>
      <w:r>
        <w:rPr>
          <w:rFonts w:ascii="Times New Roman" w:hAnsi="Times New Roman" w:cs="Times New Roman"/>
          <w:sz w:val="24"/>
          <w:szCs w:val="24"/>
        </w:rPr>
        <w:t>Stage II: divided into two, stage IIA and IIB. IIA has no tumor in the breast but the lymph nodes are affected, specifically the axillary lymph nodes under the arm. Stage IIB, invasive breast cancer where the tumor or growth is larger than 2 cm abut doesn’t exceed 5 cm. these cancerous cells are found in the lymph nodes.</w:t>
      </w:r>
    </w:p>
    <w:p w:rsidR="00215689" w:rsidRDefault="00215689" w:rsidP="00215689">
      <w:pPr>
        <w:spacing w:before="100" w:after="100" w:line="480" w:lineRule="auto"/>
        <w:rPr>
          <w:rFonts w:ascii="Times New Roman" w:hAnsi="Times New Roman" w:cs="Times New Roman"/>
          <w:sz w:val="24"/>
          <w:szCs w:val="24"/>
        </w:rPr>
      </w:pPr>
      <w:r>
        <w:rPr>
          <w:rFonts w:ascii="Times New Roman" w:hAnsi="Times New Roman" w:cs="Times New Roman"/>
          <w:sz w:val="24"/>
          <w:szCs w:val="24"/>
        </w:rPr>
        <w:t>Stage III: divided into 3 sub stages in accordance to the size of the tumor. Inflammations and reddening of the breast tissue occur at this stage.</w:t>
      </w:r>
    </w:p>
    <w:p w:rsidR="00215689" w:rsidRDefault="00215689" w:rsidP="00215689">
      <w:pPr>
        <w:spacing w:before="100" w:after="100" w:line="480" w:lineRule="auto"/>
        <w:rPr>
          <w:rFonts w:ascii="Times New Roman" w:hAnsi="Times New Roman" w:cs="Times New Roman"/>
          <w:sz w:val="24"/>
          <w:szCs w:val="24"/>
        </w:rPr>
      </w:pPr>
      <w:r>
        <w:rPr>
          <w:rFonts w:ascii="Times New Roman" w:hAnsi="Times New Roman" w:cs="Times New Roman"/>
          <w:sz w:val="24"/>
          <w:szCs w:val="24"/>
        </w:rPr>
        <w:t xml:space="preserve">Stage IV: this is a very invasive or acute stage of the Breast cancer. Here it has spread to other body organs such as the lungs, the brain, and etcetera. This is an advanced metastatic condition.  </w:t>
      </w:r>
    </w:p>
    <w:p w:rsidR="00215689" w:rsidRDefault="00215689" w:rsidP="00215689">
      <w:pPr>
        <w:spacing w:before="100" w:after="100" w:line="480" w:lineRule="auto"/>
        <w:rPr>
          <w:rFonts w:ascii="Times New Roman" w:hAnsi="Times New Roman" w:cs="Times New Roman"/>
          <w:sz w:val="24"/>
          <w:szCs w:val="24"/>
        </w:rPr>
      </w:pPr>
      <w:r>
        <w:rPr>
          <w:rFonts w:ascii="Times New Roman" w:hAnsi="Times New Roman" w:cs="Times New Roman"/>
          <w:sz w:val="24"/>
          <w:szCs w:val="24"/>
        </w:rPr>
        <w:t>Breast cancer types</w:t>
      </w:r>
    </w:p>
    <w:p w:rsidR="00215689" w:rsidRDefault="00215689" w:rsidP="00215689">
      <w:pPr>
        <w:spacing w:before="100" w:after="10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Breast cancer develops in different areas of the breast. This as a result leads to the different kinds of breast cancer. The two main types of breast cancer tumors are; a) benign or simply non-cancerous and b) malignant which are cancerous. Benign are tumors that are genetically not very aggressive to the bordering tissues. They just grow pressing organs and causing pains or other problems. Their sure involves removing the tumors to relieve the patient from pains. Malignant tumors are cancerous and very aggressive since they attack and spoil the </w:t>
      </w:r>
      <w:r>
        <w:rPr>
          <w:rFonts w:ascii="Times New Roman" w:hAnsi="Times New Roman" w:cs="Times New Roman"/>
          <w:sz w:val="24"/>
          <w:szCs w:val="24"/>
        </w:rPr>
        <w:lastRenderedPageBreak/>
        <w:t>bordering tissues. A biopsy is performed to determine how severe the tumor is. Metastatic cancer are situations when malignant tumor cancer cells invade other body parts via the lymph system forming a secondary tumor/s. the following are the known Breast Cancer types:</w:t>
      </w:r>
    </w:p>
    <w:p w:rsidR="00215689" w:rsidRDefault="00215689" w:rsidP="00215689">
      <w:pPr>
        <w:spacing w:before="100" w:after="100" w:line="480" w:lineRule="auto"/>
        <w:ind w:firstLine="720"/>
        <w:rPr>
          <w:rFonts w:ascii="Times New Roman" w:hAnsi="Times New Roman" w:cs="Times New Roman"/>
          <w:sz w:val="24"/>
          <w:szCs w:val="24"/>
        </w:rPr>
      </w:pPr>
      <w:r>
        <w:rPr>
          <w:rFonts w:ascii="Times New Roman" w:hAnsi="Times New Roman" w:cs="Times New Roman"/>
          <w:sz w:val="24"/>
          <w:szCs w:val="24"/>
        </w:rPr>
        <w:t>Ductal carcinoma in situ (DCIS) is non-invasive breast cancer. Ductal means that the cancer starts inside the milk ducts, carcinoma refers to any cancer that begins in the skin or other tissues (including breast tissue) that cover or line the internal organs, and in situ means "in its original place." DCIS is called "non-invasive" because it hasn’t spread beyond the milk duct into any normal surrounding breast tissue. DCIS isn’t life-threatening, but having DCIS can increase the risk of developing an invasive breast cancer later on.</w:t>
      </w:r>
    </w:p>
    <w:p w:rsidR="00215689" w:rsidRDefault="00215689" w:rsidP="00215689">
      <w:pPr>
        <w:pStyle w:val="Subtitle"/>
        <w:spacing w:before="100" w:after="100" w:line="480" w:lineRule="auto"/>
        <w:rPr>
          <w:rFonts w:ascii="Times New Roman" w:hAnsi="Times New Roman"/>
          <w:b/>
          <w:color w:val="auto"/>
          <w:sz w:val="24"/>
          <w:szCs w:val="24"/>
        </w:rPr>
      </w:pPr>
      <w:r>
        <w:rPr>
          <w:rFonts w:ascii="Times New Roman" w:hAnsi="Times New Roman"/>
          <w:b/>
          <w:color w:val="auto"/>
          <w:sz w:val="24"/>
          <w:szCs w:val="24"/>
        </w:rPr>
        <w:t>Invasive Ductal Carcinoma (IDC)</w:t>
      </w:r>
    </w:p>
    <w:p w:rsidR="00215689" w:rsidRDefault="00215689" w:rsidP="00215689">
      <w:pPr>
        <w:spacing w:before="100" w:after="100" w:line="480" w:lineRule="auto"/>
      </w:pPr>
      <w:r>
        <w:rPr>
          <w:rStyle w:val="Emphasis"/>
          <w:rFonts w:ascii="Times New Roman" w:hAnsi="Times New Roman" w:cs="Times New Roman"/>
          <w:sz w:val="24"/>
          <w:szCs w:val="24"/>
        </w:rPr>
        <w:t>Invasive</w:t>
      </w:r>
      <w:r>
        <w:rPr>
          <w:rFonts w:ascii="Times New Roman" w:hAnsi="Times New Roman" w:cs="Times New Roman"/>
          <w:sz w:val="24"/>
          <w:szCs w:val="24"/>
        </w:rPr>
        <w:t> means that the cancer has “invaded” or spread to the surrounding breast tissues. </w:t>
      </w:r>
      <w:r>
        <w:rPr>
          <w:rStyle w:val="Emphasis"/>
          <w:rFonts w:ascii="Times New Roman" w:hAnsi="Times New Roman" w:cs="Times New Roman"/>
          <w:sz w:val="24"/>
          <w:szCs w:val="24"/>
        </w:rPr>
        <w:t>Ductal</w:t>
      </w:r>
      <w:r>
        <w:rPr>
          <w:rFonts w:ascii="Times New Roman" w:hAnsi="Times New Roman" w:cs="Times New Roman"/>
          <w:sz w:val="24"/>
          <w:szCs w:val="24"/>
        </w:rPr>
        <w:t> means that the cancer began in the milk ducts, which are the “pipes” that carry milk from the milk-producing lobules to the nipple. </w:t>
      </w:r>
      <w:r>
        <w:rPr>
          <w:rStyle w:val="Emphasis"/>
          <w:rFonts w:ascii="Times New Roman" w:hAnsi="Times New Roman" w:cs="Times New Roman"/>
          <w:sz w:val="24"/>
          <w:szCs w:val="24"/>
        </w:rPr>
        <w:t>Carcinoma</w:t>
      </w:r>
      <w:r>
        <w:rPr>
          <w:rFonts w:ascii="Times New Roman" w:hAnsi="Times New Roman" w:cs="Times New Roman"/>
          <w:sz w:val="24"/>
          <w:szCs w:val="24"/>
        </w:rPr>
        <w:t> refers to any cancer that begins in the skin or other tissues that cover internal organs — such as breast tissue. All together, “invasive ductal carcinoma” refers to cancer that has broken through the wall of the milk duct and begun to invade the tissues of the breast. Over time, invasive ductal carcinoma can spread to the lymph nodes and possibly to other areas of the body.</w:t>
      </w:r>
    </w:p>
    <w:p w:rsidR="00215689" w:rsidRDefault="00215689" w:rsidP="00215689">
      <w:pPr>
        <w:spacing w:before="100" w:after="100" w:line="480" w:lineRule="auto"/>
      </w:pPr>
      <w:r>
        <w:rPr>
          <w:rFonts w:ascii="Times New Roman" w:hAnsi="Times New Roman" w:cs="Times New Roman"/>
          <w:noProof/>
          <w:sz w:val="24"/>
          <w:szCs w:val="24"/>
        </w:rPr>
        <w:lastRenderedPageBreak/>
        <w:drawing>
          <wp:inline distT="0" distB="0" distL="0" distR="0" wp14:anchorId="48D6B4DF" wp14:editId="6FE5A088">
            <wp:extent cx="3938723" cy="4813237"/>
            <wp:effectExtent l="0" t="0" r="4627" b="6413"/>
            <wp:docPr id="2" name="Picture 5"/>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9"/>
                    <a:stretch>
                      <a:fillRect/>
                    </a:stretch>
                  </pic:blipFill>
                  <pic:spPr>
                    <a:xfrm>
                      <a:off x="0" y="0"/>
                      <a:ext cx="3938723" cy="4813237"/>
                    </a:xfrm>
                    <a:prstGeom prst="rect">
                      <a:avLst/>
                    </a:prstGeom>
                    <a:noFill/>
                    <a:ln>
                      <a:noFill/>
                      <a:prstDash/>
                    </a:ln>
                  </pic:spPr>
                </pic:pic>
              </a:graphicData>
            </a:graphic>
          </wp:inline>
        </w:drawing>
      </w:r>
    </w:p>
    <w:p w:rsidR="00215689" w:rsidRDefault="00215689" w:rsidP="00215689">
      <w:pPr>
        <w:pStyle w:val="NormalWeb"/>
        <w:spacing w:line="480" w:lineRule="auto"/>
      </w:pPr>
      <w:r>
        <w:rPr>
          <w:rStyle w:val="Strong"/>
        </w:rPr>
        <w:t>Breast profile:</w:t>
      </w:r>
      <w:r>
        <w:br/>
      </w:r>
      <w:r>
        <w:rPr>
          <w:rStyle w:val="Strong"/>
        </w:rPr>
        <w:t>A</w:t>
      </w:r>
      <w:r>
        <w:t> Ducts</w:t>
      </w:r>
      <w:r>
        <w:br/>
      </w:r>
      <w:r>
        <w:rPr>
          <w:rStyle w:val="Strong"/>
        </w:rPr>
        <w:t>B</w:t>
      </w:r>
      <w:r>
        <w:t> Lobules</w:t>
      </w:r>
      <w:r>
        <w:br/>
      </w:r>
      <w:r>
        <w:rPr>
          <w:rStyle w:val="Strong"/>
        </w:rPr>
        <w:t>C</w:t>
      </w:r>
      <w:r>
        <w:t> Dilated section of duct to hold milk</w:t>
      </w:r>
      <w:r>
        <w:br/>
      </w:r>
      <w:r>
        <w:rPr>
          <w:rStyle w:val="Strong"/>
        </w:rPr>
        <w:t>D</w:t>
      </w:r>
      <w:r>
        <w:t> Nipple</w:t>
      </w:r>
      <w:r>
        <w:br/>
      </w:r>
      <w:r>
        <w:rPr>
          <w:rStyle w:val="Strong"/>
        </w:rPr>
        <w:t>E</w:t>
      </w:r>
      <w:r>
        <w:t> Fat</w:t>
      </w:r>
      <w:r>
        <w:br/>
      </w:r>
      <w:r>
        <w:rPr>
          <w:rStyle w:val="Strong"/>
        </w:rPr>
        <w:t>F</w:t>
      </w:r>
      <w:r>
        <w:t> Pectoralis major muscle</w:t>
      </w:r>
      <w:r>
        <w:br/>
      </w:r>
      <w:r>
        <w:rPr>
          <w:rStyle w:val="Strong"/>
        </w:rPr>
        <w:t>G</w:t>
      </w:r>
      <w:r>
        <w:t> Chest wall/rib cage</w:t>
      </w:r>
    </w:p>
    <w:p w:rsidR="00215689" w:rsidRDefault="00215689" w:rsidP="00215689">
      <w:pPr>
        <w:pStyle w:val="NormalWeb"/>
        <w:spacing w:line="480" w:lineRule="auto"/>
      </w:pPr>
      <w:r>
        <w:rPr>
          <w:rStyle w:val="Strong"/>
        </w:rPr>
        <w:lastRenderedPageBreak/>
        <w:t xml:space="preserve">Enlargement/Occurrence </w:t>
      </w:r>
      <w:r>
        <w:br/>
      </w:r>
      <w:r>
        <w:rPr>
          <w:rStyle w:val="Strong"/>
        </w:rPr>
        <w:t>A</w:t>
      </w:r>
      <w:r>
        <w:t> Normal duct cell</w:t>
      </w:r>
      <w:r>
        <w:br/>
      </w:r>
      <w:r>
        <w:rPr>
          <w:rStyle w:val="Strong"/>
        </w:rPr>
        <w:t>B</w:t>
      </w:r>
      <w:r>
        <w:t> Ductal cancer cells breaking through the basement membrane.</w:t>
      </w:r>
      <w:r>
        <w:br/>
      </w:r>
      <w:r>
        <w:rPr>
          <w:rStyle w:val="Strong"/>
        </w:rPr>
        <w:t>C</w:t>
      </w:r>
      <w:r>
        <w:t> Basement membrane</w:t>
      </w:r>
    </w:p>
    <w:p w:rsidR="00215689" w:rsidRDefault="00215689" w:rsidP="00215689">
      <w:pPr>
        <w:spacing w:before="100" w:after="100" w:line="480" w:lineRule="auto"/>
        <w:rPr>
          <w:rFonts w:ascii="Times New Roman" w:hAnsi="Times New Roman" w:cs="Times New Roman"/>
          <w:sz w:val="24"/>
          <w:szCs w:val="24"/>
        </w:rPr>
      </w:pPr>
    </w:p>
    <w:p w:rsidR="00215689" w:rsidRDefault="00215689" w:rsidP="00215689">
      <w:pPr>
        <w:pStyle w:val="Subtitle"/>
        <w:spacing w:before="100" w:after="100" w:line="480" w:lineRule="auto"/>
        <w:rPr>
          <w:rFonts w:ascii="Times New Roman" w:hAnsi="Times New Roman"/>
          <w:b/>
          <w:color w:val="auto"/>
          <w:sz w:val="24"/>
          <w:szCs w:val="24"/>
        </w:rPr>
      </w:pPr>
      <w:r>
        <w:rPr>
          <w:rFonts w:ascii="Times New Roman" w:hAnsi="Times New Roman"/>
          <w:b/>
          <w:color w:val="auto"/>
          <w:sz w:val="24"/>
          <w:szCs w:val="24"/>
        </w:rPr>
        <w:t>Tubular Carcinoma of the Breast</w:t>
      </w:r>
    </w:p>
    <w:p w:rsidR="00215689" w:rsidRDefault="00215689" w:rsidP="00215689">
      <w:pPr>
        <w:spacing w:before="100" w:after="100" w:line="480" w:lineRule="auto"/>
      </w:pPr>
      <w:r>
        <w:rPr>
          <w:rFonts w:ascii="Times New Roman" w:hAnsi="Times New Roman" w:cs="Times New Roman"/>
          <w:sz w:val="24"/>
          <w:szCs w:val="24"/>
        </w:rPr>
        <w:t>Tubular carcinoma of the breast is a subtype of </w:t>
      </w:r>
      <w:hyperlink r:id="rId30" w:tooltip="IDC - Invasive Ductal Carcinoma" w:history="1">
        <w:r>
          <w:rPr>
            <w:rStyle w:val="Hyperlink"/>
            <w:rFonts w:ascii="Times New Roman" w:hAnsi="Times New Roman" w:cs="Times New Roman"/>
            <w:sz w:val="24"/>
            <w:szCs w:val="24"/>
          </w:rPr>
          <w:t xml:space="preserve">invasive ductal carcinoma </w:t>
        </w:r>
      </w:hyperlink>
      <w:r>
        <w:rPr>
          <w:rFonts w:ascii="Times New Roman" w:hAnsi="Times New Roman" w:cs="Times New Roman"/>
          <w:sz w:val="24"/>
          <w:szCs w:val="24"/>
        </w:rPr>
        <w:t>(cancer that begins inside the breast's milk duct and spreads beyond it into healthy tissue). Tubular carcinomas are usually small (about 1 cm or less) and made up of tube-shaped structures called "tubules." These tumors tend to be low-grade, meaning that their cells look somewhat similar to normal, healthy cells and tend to grow slowly.</w:t>
      </w:r>
    </w:p>
    <w:p w:rsidR="00215689" w:rsidRDefault="00215689" w:rsidP="00215689">
      <w:pPr>
        <w:spacing w:before="100" w:after="100" w:line="480" w:lineRule="auto"/>
      </w:pPr>
      <w:r>
        <w:rPr>
          <w:rFonts w:ascii="Times New Roman" w:hAnsi="Times New Roman" w:cs="Times New Roman"/>
          <w:b/>
          <w:bCs/>
          <w:sz w:val="24"/>
          <w:szCs w:val="24"/>
        </w:rPr>
        <w:t>Medul</w:t>
      </w:r>
      <w:r>
        <w:rPr>
          <w:rStyle w:val="SubtitleChar"/>
          <w:rFonts w:ascii="Times New Roman" w:eastAsia="Calibri" w:hAnsi="Times New Roman"/>
          <w:b/>
          <w:sz w:val="24"/>
          <w:szCs w:val="24"/>
        </w:rPr>
        <w:t>lary Carcinoma of the Breast</w:t>
      </w:r>
    </w:p>
    <w:p w:rsidR="00215689" w:rsidRDefault="00215689" w:rsidP="00215689">
      <w:pPr>
        <w:spacing w:before="100" w:after="100" w:line="480" w:lineRule="auto"/>
        <w:ind w:firstLine="720"/>
        <w:rPr>
          <w:rFonts w:ascii="Times New Roman" w:hAnsi="Times New Roman" w:cs="Times New Roman"/>
          <w:sz w:val="24"/>
          <w:szCs w:val="24"/>
        </w:rPr>
      </w:pPr>
      <w:r>
        <w:rPr>
          <w:rFonts w:ascii="Times New Roman" w:hAnsi="Times New Roman" w:cs="Times New Roman"/>
          <w:sz w:val="24"/>
          <w:szCs w:val="24"/>
        </w:rPr>
        <w:t>Medullary carcinoma of the breast is a rare subtype of invasive ductal carcinoma (cancer that begins in the milk duct and spreads beyond it), accounting for about 3-5% of all cases of breast cancer. It is called “medullary” carcinoma because the tumor is a soft, fleshy mass that resembles a part of the brain called the medulla.</w:t>
      </w:r>
    </w:p>
    <w:p w:rsidR="00215689" w:rsidRDefault="00215689" w:rsidP="00215689">
      <w:pPr>
        <w:spacing w:before="100" w:after="100" w:line="480" w:lineRule="auto"/>
        <w:rPr>
          <w:rFonts w:ascii="Times New Roman" w:hAnsi="Times New Roman" w:cs="Times New Roman"/>
          <w:sz w:val="24"/>
          <w:szCs w:val="24"/>
        </w:rPr>
      </w:pPr>
      <w:r>
        <w:rPr>
          <w:rFonts w:ascii="Times New Roman" w:hAnsi="Times New Roman" w:cs="Times New Roman"/>
          <w:sz w:val="24"/>
          <w:szCs w:val="24"/>
        </w:rPr>
        <w:t>Medullary carcinoma cells are usually high-grade in their appearance and low-grade in their behavior. In other words, they look like aggressive, highly abnormal cancer cells, but they don’t act like them. Medullary carcinoma doesn’t grow quickly and usually doesn’t spread outside the breast to the lymph nodes. For this reason, it’s typically easier to treat than other types of breast cancer.</w:t>
      </w:r>
    </w:p>
    <w:p w:rsidR="00215689" w:rsidRDefault="00215689" w:rsidP="00215689">
      <w:pPr>
        <w:pStyle w:val="Subtitle"/>
        <w:spacing w:before="100" w:after="100" w:line="480" w:lineRule="auto"/>
        <w:rPr>
          <w:rFonts w:ascii="Times New Roman" w:hAnsi="Times New Roman"/>
          <w:b/>
          <w:color w:val="auto"/>
          <w:sz w:val="24"/>
          <w:szCs w:val="24"/>
        </w:rPr>
      </w:pPr>
      <w:r>
        <w:rPr>
          <w:rFonts w:ascii="Times New Roman" w:hAnsi="Times New Roman"/>
          <w:b/>
          <w:color w:val="auto"/>
          <w:sz w:val="24"/>
          <w:szCs w:val="24"/>
        </w:rPr>
        <w:t>Mucinous Carcinoma of the Breast</w:t>
      </w:r>
    </w:p>
    <w:p w:rsidR="00215689" w:rsidRDefault="00215689" w:rsidP="00215689">
      <w:pPr>
        <w:suppressAutoHyphens w:val="0"/>
        <w:spacing w:before="100" w:after="100" w:line="480" w:lineRule="auto"/>
        <w:ind w:firstLine="720"/>
        <w:textAlignment w:val="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Mucinous carcinoma of the breast — sometimes called colloid carcinoma — is a rare form of invasive ductal carcinoma (cancer that begins in the milk duct and spreads beyond it into nearby healthy tissue). In this type of cancer, the tumor is made up of abnormal cells that “float” in pools of mucin, a key ingredient in the slimy, slippery substance known as mucus.</w:t>
      </w:r>
    </w:p>
    <w:p w:rsidR="00215689" w:rsidRDefault="00215689" w:rsidP="00215689">
      <w:pPr>
        <w:suppressAutoHyphens w:val="0"/>
        <w:spacing w:before="100" w:after="100" w:line="480" w:lineRule="auto"/>
        <w:ind w:firstLine="720"/>
        <w:textAlignment w:val="auto"/>
        <w:rPr>
          <w:rFonts w:ascii="Times New Roman" w:eastAsia="Times New Roman" w:hAnsi="Times New Roman" w:cs="Times New Roman"/>
          <w:sz w:val="24"/>
          <w:szCs w:val="24"/>
        </w:rPr>
      </w:pPr>
      <w:r>
        <w:rPr>
          <w:rFonts w:ascii="Times New Roman" w:eastAsia="Times New Roman" w:hAnsi="Times New Roman" w:cs="Times New Roman"/>
          <w:sz w:val="24"/>
          <w:szCs w:val="24"/>
        </w:rPr>
        <w:t>Normally, mucus lines most of the inner surface of our bodies, such as our digestive tract, lungs, liver, and other vital organs. Many types of cancer cells — including most breast cancer cells — produce some mucus. In mucinous carcinoma, however, mucin becomes part of the tumor and surrounds the breast cancer cells. Under a microscope, it looks like the cancer cells are scattered throughout pools of mucus.</w:t>
      </w:r>
    </w:p>
    <w:p w:rsidR="00215689" w:rsidRDefault="00215689" w:rsidP="00215689">
      <w:pPr>
        <w:pStyle w:val="Subtitle"/>
        <w:spacing w:before="100" w:after="100" w:line="480" w:lineRule="auto"/>
        <w:rPr>
          <w:rFonts w:ascii="Times New Roman" w:hAnsi="Times New Roman"/>
          <w:b/>
          <w:color w:val="auto"/>
          <w:sz w:val="24"/>
          <w:szCs w:val="24"/>
        </w:rPr>
      </w:pPr>
      <w:r>
        <w:rPr>
          <w:rFonts w:ascii="Times New Roman" w:hAnsi="Times New Roman"/>
          <w:b/>
          <w:color w:val="auto"/>
          <w:sz w:val="24"/>
          <w:szCs w:val="24"/>
        </w:rPr>
        <w:t>Papillary Carcinoma of the Breast</w:t>
      </w:r>
    </w:p>
    <w:p w:rsidR="00215689" w:rsidRDefault="00215689" w:rsidP="00215689">
      <w:pPr>
        <w:spacing w:before="100" w:after="100" w:line="480" w:lineRule="auto"/>
        <w:ind w:firstLine="720"/>
        <w:rPr>
          <w:rFonts w:ascii="Times New Roman" w:hAnsi="Times New Roman" w:cs="Times New Roman"/>
          <w:sz w:val="24"/>
          <w:szCs w:val="24"/>
        </w:rPr>
      </w:pPr>
      <w:r>
        <w:rPr>
          <w:rFonts w:ascii="Times New Roman" w:hAnsi="Times New Roman" w:cs="Times New Roman"/>
          <w:sz w:val="24"/>
          <w:szCs w:val="24"/>
        </w:rPr>
        <w:t>Invasive papillary carcinomas of the breast are rare, accounting for less than 1-2% of invasive breast cancers. In most cases, these types of tumors are diagnosed in older women who have already been through menopause. An invasive papillary carcinoma usually has a well-defined border and is made up of small, finger-like projections. Often it is grade 2, or moderate grade, on a scale of 1 to 3 — with grade 1 describing cancer cells that look and behave somewhat like normal, healthy breast cells, and grade 3 describing very abnormal, fast-growing cancer cells. In most cases of invasive papillary carcinoma, ductal carcinoma in situ (DCIS) is also present.</w:t>
      </w:r>
    </w:p>
    <w:p w:rsidR="00215689" w:rsidRDefault="00215689" w:rsidP="00215689">
      <w:pPr>
        <w:spacing w:before="100" w:after="100" w:line="480" w:lineRule="auto"/>
        <w:rPr>
          <w:rFonts w:ascii="Times New Roman" w:hAnsi="Times New Roman" w:cs="Times New Roman"/>
          <w:sz w:val="24"/>
          <w:szCs w:val="24"/>
        </w:rPr>
      </w:pPr>
      <w:r>
        <w:rPr>
          <w:rFonts w:ascii="Times New Roman" w:hAnsi="Times New Roman" w:cs="Times New Roman"/>
          <w:sz w:val="24"/>
          <w:szCs w:val="24"/>
        </w:rPr>
        <w:t>Other types include</w:t>
      </w:r>
    </w:p>
    <w:p w:rsidR="00215689" w:rsidRDefault="00215689" w:rsidP="00215689">
      <w:pPr>
        <w:numPr>
          <w:ilvl w:val="0"/>
          <w:numId w:val="1"/>
        </w:numPr>
        <w:tabs>
          <w:tab w:val="left" w:pos="720"/>
        </w:tabs>
        <w:suppressAutoHyphens w:val="0"/>
        <w:spacing w:before="100" w:after="100" w:line="480" w:lineRule="auto"/>
        <w:ind w:left="390"/>
        <w:textAlignment w:val="auto"/>
      </w:pPr>
      <w:hyperlink r:id="rId31" w:tooltip="Cribriform Carcinoma of the Breast" w:history="1">
        <w:r>
          <w:rPr>
            <w:rStyle w:val="Hyperlink"/>
            <w:rFonts w:ascii="Times New Roman" w:hAnsi="Times New Roman" w:cs="Times New Roman"/>
            <w:sz w:val="24"/>
            <w:szCs w:val="24"/>
          </w:rPr>
          <w:t>IDC Type: Cribriform Carcinoma of the Breast</w:t>
        </w:r>
      </w:hyperlink>
    </w:p>
    <w:p w:rsidR="00215689" w:rsidRDefault="00215689" w:rsidP="00215689">
      <w:pPr>
        <w:numPr>
          <w:ilvl w:val="0"/>
          <w:numId w:val="1"/>
        </w:numPr>
        <w:tabs>
          <w:tab w:val="left" w:pos="720"/>
        </w:tabs>
        <w:suppressAutoHyphens w:val="0"/>
        <w:spacing w:before="100" w:after="100" w:line="480" w:lineRule="auto"/>
        <w:ind w:left="390"/>
        <w:textAlignment w:val="auto"/>
      </w:pPr>
      <w:hyperlink r:id="rId32" w:tooltip="ILC - Invasive Lobular Carcinoma" w:history="1">
        <w:r>
          <w:rPr>
            <w:rStyle w:val="Hyperlink"/>
            <w:rFonts w:ascii="Times New Roman" w:hAnsi="Times New Roman" w:cs="Times New Roman"/>
            <w:sz w:val="24"/>
            <w:szCs w:val="24"/>
          </w:rPr>
          <w:t>Invasive Lobular Carcinoma (ILC)</w:t>
        </w:r>
      </w:hyperlink>
    </w:p>
    <w:p w:rsidR="00215689" w:rsidRDefault="00215689" w:rsidP="00215689">
      <w:pPr>
        <w:numPr>
          <w:ilvl w:val="0"/>
          <w:numId w:val="1"/>
        </w:numPr>
        <w:tabs>
          <w:tab w:val="left" w:pos="720"/>
        </w:tabs>
        <w:suppressAutoHyphens w:val="0"/>
        <w:spacing w:before="100" w:after="100" w:line="480" w:lineRule="auto"/>
        <w:ind w:left="390"/>
        <w:textAlignment w:val="auto"/>
      </w:pPr>
      <w:hyperlink r:id="rId33" w:tooltip="Inflammatory Breast Cancer" w:history="1">
        <w:r>
          <w:rPr>
            <w:rStyle w:val="Hyperlink"/>
            <w:rFonts w:ascii="Times New Roman" w:hAnsi="Times New Roman" w:cs="Times New Roman"/>
            <w:sz w:val="24"/>
            <w:szCs w:val="24"/>
          </w:rPr>
          <w:t>Inflammatory Breast Cancer</w:t>
        </w:r>
      </w:hyperlink>
    </w:p>
    <w:p w:rsidR="00215689" w:rsidRDefault="00215689" w:rsidP="00215689">
      <w:pPr>
        <w:numPr>
          <w:ilvl w:val="0"/>
          <w:numId w:val="1"/>
        </w:numPr>
        <w:tabs>
          <w:tab w:val="left" w:pos="720"/>
        </w:tabs>
        <w:suppressAutoHyphens w:val="0"/>
        <w:spacing w:before="100" w:after="100" w:line="480" w:lineRule="auto"/>
        <w:ind w:left="390"/>
        <w:textAlignment w:val="auto"/>
      </w:pPr>
      <w:hyperlink r:id="rId34" w:tooltip="LCIS - Lobular Carcinoma In Situ" w:history="1">
        <w:r>
          <w:rPr>
            <w:rStyle w:val="Hyperlink"/>
            <w:rFonts w:ascii="Times New Roman" w:hAnsi="Times New Roman" w:cs="Times New Roman"/>
            <w:sz w:val="24"/>
            <w:szCs w:val="24"/>
          </w:rPr>
          <w:t>Lobular Carcinoma In Situ (LCIS)</w:t>
        </w:r>
      </w:hyperlink>
    </w:p>
    <w:p w:rsidR="00215689" w:rsidRDefault="00215689" w:rsidP="00215689">
      <w:pPr>
        <w:numPr>
          <w:ilvl w:val="0"/>
          <w:numId w:val="1"/>
        </w:numPr>
        <w:tabs>
          <w:tab w:val="left" w:pos="720"/>
        </w:tabs>
        <w:suppressAutoHyphens w:val="0"/>
        <w:spacing w:before="100" w:after="100" w:line="480" w:lineRule="auto"/>
        <w:ind w:left="390"/>
        <w:textAlignment w:val="auto"/>
      </w:pPr>
      <w:hyperlink r:id="rId35" w:tooltip="Male Breast Cancer" w:history="1">
        <w:r>
          <w:rPr>
            <w:rStyle w:val="Hyperlink"/>
            <w:rFonts w:ascii="Times New Roman" w:hAnsi="Times New Roman" w:cs="Times New Roman"/>
            <w:sz w:val="24"/>
            <w:szCs w:val="24"/>
          </w:rPr>
          <w:t>Male Breast Cancer</w:t>
        </w:r>
      </w:hyperlink>
    </w:p>
    <w:p w:rsidR="00215689" w:rsidRDefault="00215689" w:rsidP="00215689">
      <w:pPr>
        <w:numPr>
          <w:ilvl w:val="0"/>
          <w:numId w:val="1"/>
        </w:numPr>
        <w:tabs>
          <w:tab w:val="left" w:pos="720"/>
        </w:tabs>
        <w:suppressAutoHyphens w:val="0"/>
        <w:spacing w:before="100" w:after="100" w:line="480" w:lineRule="auto"/>
        <w:ind w:left="390"/>
        <w:textAlignment w:val="auto"/>
      </w:pPr>
      <w:hyperlink r:id="rId36" w:history="1">
        <w:r>
          <w:rPr>
            <w:rStyle w:val="Hyperlink"/>
            <w:rFonts w:ascii="Times New Roman" w:hAnsi="Times New Roman" w:cs="Times New Roman"/>
            <w:sz w:val="24"/>
            <w:szCs w:val="24"/>
          </w:rPr>
          <w:t>Molecular Subtypes of Breast Cancer</w:t>
        </w:r>
      </w:hyperlink>
    </w:p>
    <w:p w:rsidR="00215689" w:rsidRDefault="00215689" w:rsidP="00215689">
      <w:pPr>
        <w:numPr>
          <w:ilvl w:val="0"/>
          <w:numId w:val="1"/>
        </w:numPr>
        <w:tabs>
          <w:tab w:val="left" w:pos="720"/>
        </w:tabs>
        <w:suppressAutoHyphens w:val="0"/>
        <w:spacing w:before="100" w:after="100" w:line="480" w:lineRule="auto"/>
        <w:ind w:left="390"/>
        <w:textAlignment w:val="auto"/>
      </w:pPr>
      <w:hyperlink r:id="rId37" w:tooltip="Paget's Disease of the Nipple" w:history="1">
        <w:r>
          <w:rPr>
            <w:rStyle w:val="Hyperlink"/>
            <w:rFonts w:ascii="Times New Roman" w:hAnsi="Times New Roman" w:cs="Times New Roman"/>
            <w:sz w:val="24"/>
            <w:szCs w:val="24"/>
          </w:rPr>
          <w:t>Paget's Disease of the Nipple</w:t>
        </w:r>
      </w:hyperlink>
    </w:p>
    <w:p w:rsidR="00215689" w:rsidRDefault="00215689" w:rsidP="00215689">
      <w:pPr>
        <w:numPr>
          <w:ilvl w:val="0"/>
          <w:numId w:val="1"/>
        </w:numPr>
        <w:tabs>
          <w:tab w:val="left" w:pos="720"/>
        </w:tabs>
        <w:suppressAutoHyphens w:val="0"/>
        <w:spacing w:before="100" w:after="100" w:line="480" w:lineRule="auto"/>
        <w:ind w:left="390"/>
        <w:textAlignment w:val="auto"/>
      </w:pPr>
      <w:hyperlink r:id="rId38" w:tooltip="Phyllodes Tumors of the Breast" w:history="1">
        <w:r>
          <w:rPr>
            <w:rStyle w:val="Hyperlink"/>
            <w:rFonts w:ascii="Times New Roman" w:hAnsi="Times New Roman" w:cs="Times New Roman"/>
            <w:sz w:val="24"/>
            <w:szCs w:val="24"/>
          </w:rPr>
          <w:t>Phyllodes Tumors of the Breast</w:t>
        </w:r>
      </w:hyperlink>
    </w:p>
    <w:p w:rsidR="00215689" w:rsidRDefault="00215689" w:rsidP="00215689">
      <w:pPr>
        <w:numPr>
          <w:ilvl w:val="0"/>
          <w:numId w:val="1"/>
        </w:numPr>
        <w:tabs>
          <w:tab w:val="left" w:pos="720"/>
        </w:tabs>
        <w:suppressAutoHyphens w:val="0"/>
        <w:spacing w:before="100" w:after="100" w:line="480" w:lineRule="auto"/>
        <w:ind w:left="390"/>
        <w:textAlignment w:val="auto"/>
      </w:pPr>
      <w:hyperlink r:id="rId39" w:tooltip="Recurrent and Metastatic Breast Cancer" w:history="1">
        <w:r>
          <w:rPr>
            <w:rStyle w:val="Hyperlink"/>
            <w:rFonts w:ascii="Times New Roman" w:hAnsi="Times New Roman" w:cs="Times New Roman"/>
            <w:sz w:val="24"/>
            <w:szCs w:val="24"/>
          </w:rPr>
          <w:t>Metastatic Breast Cancer</w:t>
        </w:r>
      </w:hyperlink>
    </w:p>
    <w:p w:rsidR="00215689" w:rsidRDefault="00215689" w:rsidP="00215689">
      <w:pPr>
        <w:spacing w:before="100" w:after="100" w:line="480" w:lineRule="auto"/>
        <w:rPr>
          <w:rFonts w:ascii="Times New Roman" w:hAnsi="Times New Roman" w:cs="Times New Roman"/>
          <w:sz w:val="24"/>
          <w:szCs w:val="24"/>
        </w:rPr>
      </w:pPr>
    </w:p>
    <w:p w:rsidR="00215689" w:rsidRDefault="00215689" w:rsidP="00215689">
      <w:pPr>
        <w:spacing w:before="100" w:after="100" w:line="480" w:lineRule="auto"/>
        <w:rPr>
          <w:rFonts w:ascii="Times New Roman" w:hAnsi="Times New Roman" w:cs="Times New Roman"/>
          <w:sz w:val="24"/>
          <w:szCs w:val="24"/>
        </w:rPr>
      </w:pPr>
    </w:p>
    <w:p w:rsidR="00215689" w:rsidRDefault="00215689" w:rsidP="00215689">
      <w:pPr>
        <w:spacing w:before="100" w:after="100" w:line="480" w:lineRule="auto"/>
        <w:rPr>
          <w:rFonts w:ascii="Times New Roman" w:hAnsi="Times New Roman" w:cs="Times New Roman"/>
          <w:sz w:val="24"/>
          <w:szCs w:val="24"/>
        </w:rPr>
      </w:pPr>
    </w:p>
    <w:p w:rsidR="00215689" w:rsidRDefault="00215689" w:rsidP="00215689">
      <w:pPr>
        <w:pStyle w:val="Heading2"/>
        <w:spacing w:before="100" w:after="100" w:line="480" w:lineRule="auto"/>
      </w:pPr>
      <w:bookmarkStart w:id="1" w:name="_Toc509330153"/>
      <w:bookmarkStart w:id="2" w:name="_Toc509330186"/>
      <w:bookmarkStart w:id="3" w:name="_Toc509330216"/>
      <w:bookmarkStart w:id="4" w:name="_Toc509330264"/>
      <w:bookmarkStart w:id="5" w:name="_Toc509331702"/>
      <w:r>
        <w:rPr>
          <w:rFonts w:ascii="Times New Roman" w:hAnsi="Times New Roman"/>
          <w:b/>
          <w:bCs/>
          <w:color w:val="auto"/>
          <w:sz w:val="24"/>
          <w:szCs w:val="24"/>
        </w:rPr>
        <w:t>Treatment Procedure and Recent Advances:</w:t>
      </w:r>
      <w:bookmarkEnd w:id="1"/>
      <w:bookmarkEnd w:id="2"/>
      <w:bookmarkEnd w:id="3"/>
      <w:bookmarkEnd w:id="4"/>
      <w:bookmarkEnd w:id="5"/>
    </w:p>
    <w:p w:rsidR="00215689" w:rsidRDefault="00215689" w:rsidP="00215689">
      <w:pPr>
        <w:pStyle w:val="NormalWeb"/>
        <w:spacing w:line="480" w:lineRule="auto"/>
        <w:jc w:val="both"/>
      </w:pPr>
      <w:r>
        <w:rPr>
          <w:rStyle w:val="Strong"/>
        </w:rPr>
        <w:t>Local treatments:</w:t>
      </w:r>
      <w:r>
        <w:t> Some treatments are called local therapies. In this, they treat the tumor without affecting the rest of the body. Types of local therapy used for breast cancer include:</w:t>
      </w:r>
    </w:p>
    <w:p w:rsidR="00215689" w:rsidRDefault="00215689" w:rsidP="00215689">
      <w:pPr>
        <w:numPr>
          <w:ilvl w:val="0"/>
          <w:numId w:val="2"/>
        </w:numPr>
        <w:tabs>
          <w:tab w:val="left" w:pos="720"/>
        </w:tabs>
        <w:suppressAutoHyphens w:val="0"/>
        <w:spacing w:before="100" w:after="100" w:line="480" w:lineRule="auto"/>
        <w:ind w:left="0"/>
        <w:jc w:val="both"/>
        <w:textAlignment w:val="auto"/>
        <w:rPr>
          <w:rFonts w:ascii="Times New Roman" w:hAnsi="Times New Roman" w:cs="Times New Roman"/>
          <w:sz w:val="24"/>
          <w:szCs w:val="24"/>
        </w:rPr>
      </w:pPr>
      <w:r>
        <w:rPr>
          <w:rFonts w:ascii="Times New Roman" w:hAnsi="Times New Roman" w:cs="Times New Roman"/>
          <w:sz w:val="24"/>
          <w:szCs w:val="24"/>
        </w:rPr>
        <w:t>Surgery</w:t>
      </w:r>
    </w:p>
    <w:p w:rsidR="00215689" w:rsidRDefault="00215689" w:rsidP="00215689">
      <w:pPr>
        <w:numPr>
          <w:ilvl w:val="0"/>
          <w:numId w:val="2"/>
        </w:numPr>
        <w:tabs>
          <w:tab w:val="left" w:pos="720"/>
        </w:tabs>
        <w:suppressAutoHyphens w:val="0"/>
        <w:spacing w:before="100" w:after="100" w:line="480" w:lineRule="auto"/>
        <w:ind w:left="0"/>
        <w:jc w:val="both"/>
        <w:textAlignment w:val="auto"/>
        <w:rPr>
          <w:rFonts w:ascii="Times New Roman" w:hAnsi="Times New Roman" w:cs="Times New Roman"/>
          <w:sz w:val="24"/>
          <w:szCs w:val="24"/>
        </w:rPr>
      </w:pPr>
      <w:r>
        <w:rPr>
          <w:rFonts w:ascii="Times New Roman" w:hAnsi="Times New Roman" w:cs="Times New Roman"/>
          <w:sz w:val="24"/>
          <w:szCs w:val="24"/>
        </w:rPr>
        <w:t>Radiation therapy</w:t>
      </w:r>
    </w:p>
    <w:p w:rsidR="00215689" w:rsidRDefault="00215689" w:rsidP="00215689">
      <w:pPr>
        <w:pStyle w:val="NormalWeb"/>
        <w:spacing w:line="480" w:lineRule="auto"/>
        <w:jc w:val="both"/>
      </w:pPr>
      <w:r>
        <w:t>They are more useful for earlier stage cancers .These treatments are more likely to be useful for earlier stage (less advanced) cancers, although they might also be used in some other situations.</w:t>
      </w:r>
    </w:p>
    <w:p w:rsidR="00215689" w:rsidRDefault="00215689" w:rsidP="00215689">
      <w:pPr>
        <w:pStyle w:val="NormalWeb"/>
        <w:spacing w:line="480" w:lineRule="auto"/>
        <w:jc w:val="both"/>
      </w:pPr>
      <w:r>
        <w:rPr>
          <w:rStyle w:val="Strong"/>
        </w:rPr>
        <w:t>Systemic treatments:</w:t>
      </w:r>
      <w:r>
        <w:t> Breast cancer can also be treated using drugs, which can be given by mouth or directly into the bloodstream. They can reach cancer cells anywhere in the body, so called as systemic therapies.. Depending on the type of breast cancer, several different types of drugs might be used, including:</w:t>
      </w:r>
    </w:p>
    <w:p w:rsidR="00215689" w:rsidRDefault="00215689" w:rsidP="00215689">
      <w:pPr>
        <w:pStyle w:val="NormalWeb"/>
        <w:spacing w:line="480" w:lineRule="auto"/>
        <w:jc w:val="both"/>
      </w:pPr>
      <w:r>
        <w:t>The main breast cancer treatment options may include:</w:t>
      </w:r>
    </w:p>
    <w:p w:rsidR="00215689" w:rsidRDefault="00215689" w:rsidP="00215689">
      <w:pPr>
        <w:numPr>
          <w:ilvl w:val="0"/>
          <w:numId w:val="3"/>
        </w:numPr>
        <w:tabs>
          <w:tab w:val="left" w:pos="720"/>
        </w:tabs>
        <w:suppressAutoHyphens w:val="0"/>
        <w:spacing w:before="100" w:after="100" w:line="480" w:lineRule="auto"/>
        <w:ind w:left="0"/>
        <w:jc w:val="both"/>
        <w:textAlignment w:val="auto"/>
        <w:rPr>
          <w:rFonts w:ascii="Times New Roman" w:hAnsi="Times New Roman" w:cs="Times New Roman"/>
          <w:sz w:val="24"/>
          <w:szCs w:val="24"/>
        </w:rPr>
      </w:pPr>
      <w:r>
        <w:rPr>
          <w:rFonts w:ascii="Times New Roman" w:hAnsi="Times New Roman" w:cs="Times New Roman"/>
          <w:sz w:val="24"/>
          <w:szCs w:val="24"/>
        </w:rPr>
        <w:lastRenderedPageBreak/>
        <w:t>Radiation therapy (radiotherapy)</w:t>
      </w:r>
    </w:p>
    <w:p w:rsidR="00215689" w:rsidRDefault="00215689" w:rsidP="00215689">
      <w:pPr>
        <w:numPr>
          <w:ilvl w:val="0"/>
          <w:numId w:val="3"/>
        </w:numPr>
        <w:tabs>
          <w:tab w:val="left" w:pos="720"/>
        </w:tabs>
        <w:suppressAutoHyphens w:val="0"/>
        <w:spacing w:before="100" w:after="100" w:line="480" w:lineRule="auto"/>
        <w:ind w:left="0"/>
        <w:jc w:val="both"/>
        <w:textAlignment w:val="auto"/>
        <w:rPr>
          <w:rFonts w:ascii="Times New Roman" w:hAnsi="Times New Roman" w:cs="Times New Roman"/>
          <w:sz w:val="24"/>
          <w:szCs w:val="24"/>
        </w:rPr>
      </w:pPr>
      <w:r>
        <w:rPr>
          <w:rFonts w:ascii="Times New Roman" w:hAnsi="Times New Roman" w:cs="Times New Roman"/>
          <w:sz w:val="24"/>
          <w:szCs w:val="24"/>
        </w:rPr>
        <w:t>Surgery</w:t>
      </w:r>
    </w:p>
    <w:p w:rsidR="00215689" w:rsidRDefault="00215689" w:rsidP="00215689">
      <w:pPr>
        <w:numPr>
          <w:ilvl w:val="0"/>
          <w:numId w:val="3"/>
        </w:numPr>
        <w:tabs>
          <w:tab w:val="left" w:pos="720"/>
        </w:tabs>
        <w:suppressAutoHyphens w:val="0"/>
        <w:spacing w:before="100" w:after="100" w:line="480" w:lineRule="auto"/>
        <w:ind w:left="0"/>
        <w:jc w:val="both"/>
        <w:textAlignment w:val="auto"/>
        <w:rPr>
          <w:rFonts w:ascii="Times New Roman" w:hAnsi="Times New Roman" w:cs="Times New Roman"/>
          <w:sz w:val="24"/>
          <w:szCs w:val="24"/>
        </w:rPr>
      </w:pPr>
      <w:r>
        <w:rPr>
          <w:rFonts w:ascii="Times New Roman" w:hAnsi="Times New Roman" w:cs="Times New Roman"/>
          <w:sz w:val="24"/>
          <w:szCs w:val="24"/>
        </w:rPr>
        <w:t>Biological therapy (targeted drug therapy)</w:t>
      </w:r>
    </w:p>
    <w:p w:rsidR="00215689" w:rsidRDefault="00215689" w:rsidP="00215689">
      <w:pPr>
        <w:numPr>
          <w:ilvl w:val="0"/>
          <w:numId w:val="3"/>
        </w:numPr>
        <w:tabs>
          <w:tab w:val="left" w:pos="720"/>
        </w:tabs>
        <w:suppressAutoHyphens w:val="0"/>
        <w:spacing w:before="100" w:after="100" w:line="480" w:lineRule="auto"/>
        <w:ind w:left="0"/>
        <w:jc w:val="both"/>
        <w:textAlignment w:val="auto"/>
        <w:rPr>
          <w:rFonts w:ascii="Times New Roman" w:hAnsi="Times New Roman" w:cs="Times New Roman"/>
          <w:sz w:val="24"/>
          <w:szCs w:val="24"/>
        </w:rPr>
      </w:pPr>
      <w:r>
        <w:rPr>
          <w:rFonts w:ascii="Times New Roman" w:hAnsi="Times New Roman" w:cs="Times New Roman"/>
          <w:sz w:val="24"/>
          <w:szCs w:val="24"/>
        </w:rPr>
        <w:t>Hormone therapy</w:t>
      </w:r>
    </w:p>
    <w:p w:rsidR="00215689" w:rsidRDefault="00215689" w:rsidP="00215689">
      <w:pPr>
        <w:numPr>
          <w:ilvl w:val="0"/>
          <w:numId w:val="3"/>
        </w:numPr>
        <w:tabs>
          <w:tab w:val="left" w:pos="720"/>
        </w:tabs>
        <w:suppressAutoHyphens w:val="0"/>
        <w:spacing w:before="100" w:after="100" w:line="480" w:lineRule="auto"/>
        <w:ind w:left="0"/>
        <w:jc w:val="both"/>
        <w:textAlignment w:val="auto"/>
        <w:rPr>
          <w:rFonts w:ascii="Times New Roman" w:hAnsi="Times New Roman" w:cs="Times New Roman"/>
          <w:sz w:val="24"/>
          <w:szCs w:val="24"/>
        </w:rPr>
      </w:pPr>
      <w:r>
        <w:rPr>
          <w:rFonts w:ascii="Times New Roman" w:hAnsi="Times New Roman" w:cs="Times New Roman"/>
          <w:sz w:val="24"/>
          <w:szCs w:val="24"/>
        </w:rPr>
        <w:t>Chemotherapy</w:t>
      </w:r>
    </w:p>
    <w:p w:rsidR="00215689" w:rsidRDefault="00215689" w:rsidP="00215689">
      <w:pPr>
        <w:pStyle w:val="Subtitle"/>
        <w:spacing w:before="100" w:after="100" w:line="480" w:lineRule="auto"/>
        <w:rPr>
          <w:rFonts w:ascii="Times New Roman" w:hAnsi="Times New Roman"/>
          <w:b/>
          <w:color w:val="auto"/>
          <w:sz w:val="24"/>
          <w:szCs w:val="24"/>
        </w:rPr>
      </w:pPr>
      <w:r>
        <w:rPr>
          <w:rFonts w:ascii="Times New Roman" w:hAnsi="Times New Roman"/>
          <w:b/>
          <w:color w:val="auto"/>
          <w:sz w:val="24"/>
          <w:szCs w:val="24"/>
        </w:rPr>
        <w:t>Surgery</w:t>
      </w:r>
    </w:p>
    <w:p w:rsidR="00215689" w:rsidRDefault="00215689" w:rsidP="00215689">
      <w:pPr>
        <w:pStyle w:val="NormalWeb"/>
        <w:spacing w:line="480" w:lineRule="auto"/>
        <w:jc w:val="both"/>
      </w:pPr>
      <w:r>
        <w:rPr>
          <w:rStyle w:val="Strong"/>
        </w:rPr>
        <w:t>Lumpectomy-</w:t>
      </w:r>
      <w:r>
        <w:t> Removal of tumor and a small margin of healthy tissue around it surgically. It is often known as breast sparing surgery in breast cancer.</w:t>
      </w:r>
    </w:p>
    <w:p w:rsidR="00215689" w:rsidRDefault="00215689" w:rsidP="00215689">
      <w:pPr>
        <w:pStyle w:val="NormalWeb"/>
        <w:spacing w:line="480" w:lineRule="auto"/>
        <w:jc w:val="both"/>
      </w:pPr>
      <w:r>
        <w:rPr>
          <w:rStyle w:val="Strong"/>
        </w:rPr>
        <w:t>Mastectomy-</w:t>
      </w:r>
      <w:r>
        <w:t> surgically removing the breast. Simple mastectomy involves removing the lobules, ducts, fatty tissue, nipple, areola, and some skin. Radical mastectomy means also removing muscle of the chest wall and the lymph nodes in the armpit.</w:t>
      </w:r>
    </w:p>
    <w:p w:rsidR="00215689" w:rsidRDefault="00215689" w:rsidP="00215689">
      <w:pPr>
        <w:pStyle w:val="NormalWeb"/>
        <w:spacing w:line="480" w:lineRule="auto"/>
        <w:jc w:val="both"/>
      </w:pPr>
      <w:r>
        <w:rPr>
          <w:rStyle w:val="Strong"/>
        </w:rPr>
        <w:t>Sentinel node biopsy-</w:t>
      </w:r>
      <w:r>
        <w:t> one lymph node is surgically removed.</w:t>
      </w:r>
    </w:p>
    <w:p w:rsidR="00215689" w:rsidRDefault="00215689" w:rsidP="00215689">
      <w:pPr>
        <w:pStyle w:val="NormalWeb"/>
        <w:spacing w:line="480" w:lineRule="auto"/>
        <w:jc w:val="both"/>
      </w:pPr>
      <w:r>
        <w:rPr>
          <w:rStyle w:val="Strong"/>
        </w:rPr>
        <w:t>Axillary lymph node dissection-</w:t>
      </w:r>
      <w:r>
        <w:t> if the sentinel node was found to have cancer cells, the surgeon may recommend removing several nymph nodes in the armpit.</w:t>
      </w:r>
    </w:p>
    <w:p w:rsidR="00215689" w:rsidRDefault="00215689" w:rsidP="00215689">
      <w:pPr>
        <w:pStyle w:val="NormalWeb"/>
        <w:spacing w:line="480" w:lineRule="auto"/>
        <w:jc w:val="both"/>
      </w:pPr>
      <w:r>
        <w:rPr>
          <w:rStyle w:val="Strong"/>
        </w:rPr>
        <w:t>Breast reconstruction surgery-</w:t>
      </w:r>
      <w:r>
        <w:t> a series of surgical procedures aimed at recreating a breast so that it looks as much as possible like the other breast. This procedure may be carried out at the same time as a mastectomy. The surgeon may use a breast implant, or tissue from another part of the patient's body.</w:t>
      </w:r>
    </w:p>
    <w:p w:rsidR="00215689" w:rsidRDefault="00215689" w:rsidP="00215689">
      <w:pPr>
        <w:pStyle w:val="Subtitle"/>
        <w:spacing w:before="100" w:after="100" w:line="480" w:lineRule="auto"/>
        <w:rPr>
          <w:rFonts w:ascii="Times New Roman" w:hAnsi="Times New Roman"/>
          <w:b/>
          <w:color w:val="auto"/>
          <w:sz w:val="24"/>
          <w:szCs w:val="24"/>
        </w:rPr>
      </w:pPr>
      <w:r>
        <w:rPr>
          <w:rFonts w:ascii="Times New Roman" w:hAnsi="Times New Roman"/>
          <w:b/>
          <w:color w:val="auto"/>
          <w:sz w:val="24"/>
          <w:szCs w:val="24"/>
        </w:rPr>
        <w:t>Radiation Therapy (radiotherapy)</w:t>
      </w:r>
    </w:p>
    <w:p w:rsidR="00215689" w:rsidRDefault="00215689" w:rsidP="00215689">
      <w:pPr>
        <w:pStyle w:val="NormalWeb"/>
        <w:spacing w:line="480" w:lineRule="auto"/>
        <w:ind w:firstLine="720"/>
        <w:jc w:val="both"/>
      </w:pPr>
      <w:r>
        <w:t>After one month of surgery or chemotherapy, radiotherapy occurs. The patient may require three to five sessions per week for three to five session per week for three to six weeks.</w:t>
      </w:r>
    </w:p>
    <w:p w:rsidR="00215689" w:rsidRDefault="00215689" w:rsidP="00215689">
      <w:pPr>
        <w:pStyle w:val="NormalWeb"/>
        <w:spacing w:line="480" w:lineRule="auto"/>
        <w:jc w:val="both"/>
      </w:pPr>
      <w:r>
        <w:lastRenderedPageBreak/>
        <w:t>The type of breast cancer the woman has will decide what type of radiation therapy she may have to undergo. In some cases, radiotherapy is not needed.</w:t>
      </w:r>
    </w:p>
    <w:p w:rsidR="00215689" w:rsidRDefault="00215689" w:rsidP="00215689">
      <w:pPr>
        <w:spacing w:before="100" w:after="100" w:line="480" w:lineRule="auto"/>
      </w:pPr>
      <w:r>
        <w:rPr>
          <w:rStyle w:val="Strong"/>
          <w:rFonts w:ascii="Times New Roman" w:hAnsi="Times New Roman" w:cs="Times New Roman"/>
          <w:sz w:val="24"/>
          <w:szCs w:val="24"/>
        </w:rPr>
        <w:t>Radiation therapy types include:</w:t>
      </w:r>
    </w:p>
    <w:p w:rsidR="00215689" w:rsidRDefault="00215689" w:rsidP="00215689">
      <w:pPr>
        <w:numPr>
          <w:ilvl w:val="0"/>
          <w:numId w:val="4"/>
        </w:numPr>
        <w:tabs>
          <w:tab w:val="left" w:pos="720"/>
        </w:tabs>
        <w:suppressAutoHyphens w:val="0"/>
        <w:spacing w:before="100" w:after="100" w:line="480" w:lineRule="auto"/>
        <w:ind w:left="0"/>
        <w:jc w:val="both"/>
        <w:textAlignment w:val="auto"/>
      </w:pPr>
      <w:r>
        <w:rPr>
          <w:rStyle w:val="Strong"/>
          <w:rFonts w:ascii="Times New Roman" w:hAnsi="Times New Roman" w:cs="Times New Roman"/>
          <w:sz w:val="24"/>
          <w:szCs w:val="24"/>
        </w:rPr>
        <w:t>Breast Radiation Therapy -</w:t>
      </w:r>
      <w:r>
        <w:rPr>
          <w:rFonts w:ascii="Times New Roman" w:hAnsi="Times New Roman" w:cs="Times New Roman"/>
          <w:sz w:val="24"/>
          <w:szCs w:val="24"/>
        </w:rPr>
        <w:t> after a lumpectomy, radiation is administered to the remaining breast tissue</w:t>
      </w:r>
    </w:p>
    <w:p w:rsidR="00215689" w:rsidRDefault="00215689" w:rsidP="00215689">
      <w:pPr>
        <w:numPr>
          <w:ilvl w:val="0"/>
          <w:numId w:val="4"/>
        </w:numPr>
        <w:tabs>
          <w:tab w:val="left" w:pos="720"/>
        </w:tabs>
        <w:suppressAutoHyphens w:val="0"/>
        <w:spacing w:before="100" w:after="100" w:line="480" w:lineRule="auto"/>
        <w:ind w:left="0"/>
        <w:jc w:val="both"/>
        <w:textAlignment w:val="auto"/>
      </w:pPr>
      <w:r>
        <w:rPr>
          <w:rStyle w:val="Strong"/>
          <w:rFonts w:ascii="Times New Roman" w:hAnsi="Times New Roman" w:cs="Times New Roman"/>
          <w:sz w:val="24"/>
          <w:szCs w:val="24"/>
        </w:rPr>
        <w:t>Chest Wall Radiation Therapy -</w:t>
      </w:r>
      <w:r>
        <w:rPr>
          <w:rFonts w:ascii="Times New Roman" w:hAnsi="Times New Roman" w:cs="Times New Roman"/>
          <w:sz w:val="24"/>
          <w:szCs w:val="24"/>
        </w:rPr>
        <w:t> this is applied after a mastectomy</w:t>
      </w:r>
    </w:p>
    <w:p w:rsidR="00215689" w:rsidRDefault="00215689" w:rsidP="00215689">
      <w:pPr>
        <w:numPr>
          <w:ilvl w:val="0"/>
          <w:numId w:val="4"/>
        </w:numPr>
        <w:tabs>
          <w:tab w:val="left" w:pos="720"/>
        </w:tabs>
        <w:suppressAutoHyphens w:val="0"/>
        <w:spacing w:before="100" w:after="100" w:line="480" w:lineRule="auto"/>
        <w:ind w:left="0"/>
        <w:jc w:val="both"/>
        <w:textAlignment w:val="auto"/>
      </w:pPr>
      <w:r>
        <w:rPr>
          <w:rStyle w:val="Strong"/>
          <w:rFonts w:ascii="Times New Roman" w:hAnsi="Times New Roman" w:cs="Times New Roman"/>
          <w:sz w:val="24"/>
          <w:szCs w:val="24"/>
        </w:rPr>
        <w:t>Breast Boost -</w:t>
      </w:r>
      <w:r>
        <w:rPr>
          <w:rFonts w:ascii="Times New Roman" w:hAnsi="Times New Roman" w:cs="Times New Roman"/>
          <w:sz w:val="24"/>
          <w:szCs w:val="24"/>
        </w:rPr>
        <w:t> a high-dose of radiation therapy is applied to where the tumor was surgically removed.</w:t>
      </w:r>
    </w:p>
    <w:p w:rsidR="00215689" w:rsidRDefault="00215689" w:rsidP="00215689">
      <w:pPr>
        <w:numPr>
          <w:ilvl w:val="0"/>
          <w:numId w:val="4"/>
        </w:numPr>
        <w:tabs>
          <w:tab w:val="left" w:pos="720"/>
        </w:tabs>
        <w:suppressAutoHyphens w:val="0"/>
        <w:spacing w:before="100" w:after="100" w:line="480" w:lineRule="auto"/>
        <w:ind w:left="0"/>
        <w:jc w:val="both"/>
        <w:textAlignment w:val="auto"/>
      </w:pPr>
      <w:r>
        <w:rPr>
          <w:rStyle w:val="Strong"/>
          <w:rFonts w:ascii="Times New Roman" w:hAnsi="Times New Roman" w:cs="Times New Roman"/>
          <w:sz w:val="24"/>
          <w:szCs w:val="24"/>
        </w:rPr>
        <w:t>Lymph Nodes Radiation Therapy -</w:t>
      </w:r>
      <w:r>
        <w:rPr>
          <w:rFonts w:ascii="Times New Roman" w:hAnsi="Times New Roman" w:cs="Times New Roman"/>
          <w:sz w:val="24"/>
          <w:szCs w:val="24"/>
        </w:rPr>
        <w:t> the radiation is aimed at the axilla (armpit) and surrounding area to destroy cancer cells that have reached the lymph nodes</w:t>
      </w:r>
    </w:p>
    <w:p w:rsidR="00215689" w:rsidRDefault="00215689" w:rsidP="00215689">
      <w:pPr>
        <w:numPr>
          <w:ilvl w:val="0"/>
          <w:numId w:val="4"/>
        </w:numPr>
        <w:tabs>
          <w:tab w:val="left" w:pos="720"/>
        </w:tabs>
        <w:suppressAutoHyphens w:val="0"/>
        <w:spacing w:before="100" w:after="100" w:line="480" w:lineRule="auto"/>
        <w:ind w:left="0"/>
        <w:jc w:val="both"/>
        <w:textAlignment w:val="auto"/>
      </w:pPr>
      <w:r>
        <w:rPr>
          <w:rStyle w:val="Strong"/>
          <w:rFonts w:ascii="Times New Roman" w:hAnsi="Times New Roman" w:cs="Times New Roman"/>
          <w:sz w:val="24"/>
          <w:szCs w:val="24"/>
        </w:rPr>
        <w:t>Breast Brachytherapy -</w:t>
      </w:r>
      <w:r>
        <w:rPr>
          <w:rFonts w:ascii="Times New Roman" w:hAnsi="Times New Roman" w:cs="Times New Roman"/>
          <w:sz w:val="24"/>
          <w:szCs w:val="24"/>
        </w:rPr>
        <w:t> patients with early-stage breast cancer in the milk ducts which has not spread, seem to benefit from undergoing breast brachytherapy with a strut-based applicator.</w:t>
      </w:r>
    </w:p>
    <w:p w:rsidR="00215689" w:rsidRDefault="00215689" w:rsidP="00215689">
      <w:pPr>
        <w:pStyle w:val="Subtitle"/>
        <w:spacing w:before="100" w:after="100" w:line="480" w:lineRule="auto"/>
        <w:rPr>
          <w:rFonts w:ascii="Times New Roman" w:hAnsi="Times New Roman"/>
          <w:b/>
          <w:color w:val="auto"/>
          <w:sz w:val="24"/>
          <w:szCs w:val="24"/>
        </w:rPr>
      </w:pPr>
      <w:r>
        <w:rPr>
          <w:rFonts w:ascii="Times New Roman" w:hAnsi="Times New Roman"/>
          <w:b/>
          <w:color w:val="auto"/>
          <w:sz w:val="24"/>
          <w:szCs w:val="24"/>
        </w:rPr>
        <w:t>Chemotherapy</w:t>
      </w:r>
    </w:p>
    <w:p w:rsidR="00215689" w:rsidRDefault="00215689" w:rsidP="00215689">
      <w:pPr>
        <w:pStyle w:val="NormalWeb"/>
        <w:spacing w:line="480" w:lineRule="auto"/>
        <w:ind w:firstLine="720"/>
        <w:jc w:val="both"/>
      </w:pPr>
      <w:r>
        <w:t>Medications are used to kill the cancer cells - these are called cytotoxic drugs. The oncologist may recommend chemotherapy if there is a high risk of cancer recurrence, or the cancer spreading elsewhere in the body. This is called adjuvant chemotherapy. If the tumors are large, chemotherapy may be administered before surgery. The aim is to shrink the tumor, making its removal easier. This is called neo-adjuvant chemotherapy.</w:t>
      </w:r>
    </w:p>
    <w:p w:rsidR="00215689" w:rsidRDefault="00215689" w:rsidP="00215689">
      <w:pPr>
        <w:pStyle w:val="NormalWeb"/>
        <w:spacing w:line="480" w:lineRule="auto"/>
        <w:ind w:firstLine="720"/>
        <w:jc w:val="both"/>
      </w:pPr>
      <w:r>
        <w:t>Chemotherapy may also be administered if the cancer has metastasized. It is also useful in reducing some of the symptoms caused by cancer.</w:t>
      </w:r>
    </w:p>
    <w:p w:rsidR="00215689" w:rsidRDefault="00215689" w:rsidP="00215689">
      <w:pPr>
        <w:pStyle w:val="NormalWeb"/>
        <w:spacing w:line="480" w:lineRule="auto"/>
        <w:ind w:firstLine="720"/>
        <w:jc w:val="both"/>
      </w:pPr>
      <w:r>
        <w:t>Chemotherapy may help stop estrogen production. It encourages the growth of breast cancers.</w:t>
      </w:r>
    </w:p>
    <w:p w:rsidR="00215689" w:rsidRDefault="00215689" w:rsidP="00215689">
      <w:pPr>
        <w:pStyle w:val="NormalWeb"/>
        <w:spacing w:line="480" w:lineRule="auto"/>
        <w:jc w:val="both"/>
      </w:pPr>
      <w:r>
        <w:rPr>
          <w:rStyle w:val="Strong"/>
        </w:rPr>
        <w:lastRenderedPageBreak/>
        <w:t>Protecting Female Fertility –</w:t>
      </w:r>
      <w:r>
        <w:t> An arsenic-based chemo medication, which is very gentle on the ovaries are used for attacking cancer.</w:t>
      </w:r>
    </w:p>
    <w:p w:rsidR="00215689" w:rsidRDefault="00215689" w:rsidP="00215689">
      <w:pPr>
        <w:pStyle w:val="Heading2"/>
        <w:spacing w:before="100" w:after="100" w:line="480" w:lineRule="auto"/>
      </w:pPr>
      <w:bookmarkStart w:id="6" w:name="_Toc509330154"/>
      <w:bookmarkStart w:id="7" w:name="_Toc509330187"/>
      <w:bookmarkStart w:id="8" w:name="_Toc509330217"/>
      <w:bookmarkStart w:id="9" w:name="_Toc509330265"/>
      <w:bookmarkStart w:id="10" w:name="_Toc509331703"/>
      <w:r>
        <w:rPr>
          <w:rFonts w:ascii="Times New Roman" w:hAnsi="Times New Roman"/>
          <w:b/>
          <w:bCs/>
          <w:color w:val="auto"/>
          <w:sz w:val="24"/>
          <w:szCs w:val="24"/>
        </w:rPr>
        <w:t>Hormone Therapy (Hormone Blocking Therapy)</w:t>
      </w:r>
      <w:bookmarkEnd w:id="6"/>
      <w:bookmarkEnd w:id="7"/>
      <w:bookmarkEnd w:id="8"/>
      <w:bookmarkEnd w:id="9"/>
      <w:bookmarkEnd w:id="10"/>
    </w:p>
    <w:p w:rsidR="00215689" w:rsidRDefault="00215689" w:rsidP="00215689">
      <w:pPr>
        <w:pStyle w:val="NormalWeb"/>
        <w:spacing w:line="480" w:lineRule="auto"/>
        <w:ind w:firstLine="720"/>
        <w:jc w:val="both"/>
      </w:pPr>
      <w:r>
        <w:t>Hormone therapy is used for breast cancers that are sensitive to hormones. These types of cancer are often referred to as ER positive (estrogen receptor positive) and PR positive (progesterone receptor positive) cancers. The aim is to prevent cancer recurrence. This therapy is used after surgery or may be used before to shrink the tumor.</w:t>
      </w:r>
    </w:p>
    <w:p w:rsidR="00215689" w:rsidRDefault="00215689" w:rsidP="00215689">
      <w:pPr>
        <w:pStyle w:val="NormalWeb"/>
        <w:spacing w:line="480" w:lineRule="auto"/>
        <w:ind w:firstLine="720"/>
        <w:jc w:val="both"/>
      </w:pPr>
      <w:r>
        <w:t>If for health reasons, the patient cannot undergo surgery, chemotherapy or radiotherapy, hormone therapy may be the only treatment she receives.</w:t>
      </w:r>
    </w:p>
    <w:p w:rsidR="00215689" w:rsidRDefault="00215689" w:rsidP="00215689">
      <w:pPr>
        <w:pStyle w:val="Subtitle"/>
        <w:rPr>
          <w:rFonts w:ascii="Times New Roman" w:hAnsi="Times New Roman"/>
          <w:b/>
          <w:sz w:val="24"/>
          <w:szCs w:val="24"/>
        </w:rPr>
      </w:pPr>
      <w:bookmarkStart w:id="11" w:name="_Toc509330155"/>
      <w:bookmarkStart w:id="12" w:name="_Toc509330188"/>
      <w:bookmarkStart w:id="13" w:name="_Toc509330218"/>
      <w:bookmarkStart w:id="14" w:name="_Toc509330266"/>
      <w:bookmarkStart w:id="15" w:name="_Toc509331704"/>
      <w:r>
        <w:rPr>
          <w:rFonts w:ascii="Times New Roman" w:hAnsi="Times New Roman"/>
          <w:b/>
          <w:sz w:val="24"/>
          <w:szCs w:val="24"/>
        </w:rPr>
        <w:t>Biological Treatment (Targeted Drugs)</w:t>
      </w:r>
      <w:bookmarkEnd w:id="11"/>
      <w:bookmarkEnd w:id="12"/>
      <w:bookmarkEnd w:id="13"/>
      <w:bookmarkEnd w:id="14"/>
      <w:bookmarkEnd w:id="15"/>
    </w:p>
    <w:p w:rsidR="00215689" w:rsidRDefault="00215689" w:rsidP="00215689">
      <w:pPr>
        <w:pStyle w:val="NormalWeb"/>
        <w:spacing w:line="480" w:lineRule="auto"/>
        <w:jc w:val="both"/>
      </w:pPr>
      <w:r>
        <w:t>Some drugs are given to the patient to destroy the cancer cells.</w:t>
      </w:r>
    </w:p>
    <w:p w:rsidR="00215689" w:rsidRDefault="00215689" w:rsidP="00215689">
      <w:pPr>
        <w:pStyle w:val="Subtitle"/>
        <w:spacing w:before="100" w:after="100" w:line="480" w:lineRule="auto"/>
        <w:rPr>
          <w:rFonts w:ascii="Times New Roman" w:hAnsi="Times New Roman"/>
          <w:b/>
          <w:color w:val="auto"/>
          <w:sz w:val="24"/>
          <w:szCs w:val="24"/>
        </w:rPr>
      </w:pPr>
      <w:r>
        <w:rPr>
          <w:rFonts w:ascii="Times New Roman" w:hAnsi="Times New Roman"/>
          <w:b/>
          <w:color w:val="auto"/>
          <w:sz w:val="24"/>
          <w:szCs w:val="24"/>
        </w:rPr>
        <w:t>Bone-directed Treatments</w:t>
      </w:r>
    </w:p>
    <w:p w:rsidR="00215689" w:rsidRDefault="00215689" w:rsidP="00215689">
      <w:pPr>
        <w:pStyle w:val="NormalWeb"/>
        <w:spacing w:line="480" w:lineRule="auto"/>
        <w:ind w:firstLine="720"/>
        <w:jc w:val="both"/>
      </w:pPr>
      <w:r>
        <w:t>When breast cancer spreads, it often goes to the bones. Some drugs can help treat the spread of cancer to the bones, and might even help prevent it. Newer drugs are introduced to treat breast cancer that has spread to the bones. They are also looking for ways to identify and target the markers that affect bone turnover.</w:t>
      </w:r>
    </w:p>
    <w:p w:rsidR="00215689" w:rsidRDefault="00215689" w:rsidP="00215689">
      <w:pPr>
        <w:spacing w:before="100" w:after="100" w:line="480" w:lineRule="auto"/>
        <w:rPr>
          <w:rFonts w:ascii="Times New Roman" w:hAnsi="Times New Roman" w:cs="Times New Roman"/>
          <w:sz w:val="24"/>
          <w:szCs w:val="24"/>
        </w:rPr>
      </w:pPr>
      <w:r>
        <w:rPr>
          <w:rFonts w:ascii="Times New Roman" w:hAnsi="Times New Roman" w:cs="Times New Roman"/>
          <w:sz w:val="24"/>
          <w:szCs w:val="24"/>
        </w:rPr>
        <w:t>DCIS</w:t>
      </w:r>
    </w:p>
    <w:p w:rsidR="00215689" w:rsidRDefault="00215689" w:rsidP="00215689">
      <w:pPr>
        <w:pStyle w:val="Subtitle"/>
        <w:spacing w:before="100" w:after="100" w:line="480" w:lineRule="auto"/>
        <w:rPr>
          <w:rFonts w:ascii="Times New Roman" w:hAnsi="Times New Roman"/>
          <w:b/>
          <w:color w:val="auto"/>
          <w:sz w:val="24"/>
          <w:szCs w:val="24"/>
        </w:rPr>
      </w:pPr>
      <w:r>
        <w:rPr>
          <w:rFonts w:ascii="Times New Roman" w:hAnsi="Times New Roman"/>
          <w:b/>
          <w:color w:val="auto"/>
          <w:sz w:val="24"/>
          <w:szCs w:val="24"/>
        </w:rPr>
        <w:t>Standard treatment options for DCIS include:</w:t>
      </w:r>
    </w:p>
    <w:p w:rsidR="00215689" w:rsidRDefault="00215689" w:rsidP="00215689">
      <w:pPr>
        <w:numPr>
          <w:ilvl w:val="0"/>
          <w:numId w:val="5"/>
        </w:numPr>
        <w:tabs>
          <w:tab w:val="left" w:pos="720"/>
        </w:tabs>
        <w:suppressAutoHyphens w:val="0"/>
        <w:spacing w:before="100" w:after="100" w:line="480" w:lineRule="auto"/>
        <w:ind w:left="390"/>
        <w:textAlignment w:val="auto"/>
      </w:pPr>
      <w:r>
        <w:rPr>
          <w:rFonts w:ascii="Times New Roman" w:eastAsia="Times New Roman" w:hAnsi="Times New Roman" w:cs="Times New Roman"/>
          <w:b/>
          <w:bCs/>
          <w:sz w:val="24"/>
          <w:szCs w:val="24"/>
        </w:rPr>
        <w:t>Lumpectomy followed by radiation therapy:</w:t>
      </w:r>
      <w:r>
        <w:rPr>
          <w:rFonts w:ascii="Times New Roman" w:eastAsia="Times New Roman" w:hAnsi="Times New Roman" w:cs="Times New Roman"/>
          <w:sz w:val="24"/>
          <w:szCs w:val="24"/>
        </w:rPr>
        <w:t> This is the most common treatment for DCIS. Lumpectomy is sometimes called breast-conserving treatment because most of the breast is saved.</w:t>
      </w:r>
    </w:p>
    <w:p w:rsidR="00215689" w:rsidRDefault="00215689" w:rsidP="00215689">
      <w:pPr>
        <w:numPr>
          <w:ilvl w:val="0"/>
          <w:numId w:val="5"/>
        </w:numPr>
        <w:tabs>
          <w:tab w:val="left" w:pos="720"/>
        </w:tabs>
        <w:suppressAutoHyphens w:val="0"/>
        <w:spacing w:before="100" w:after="100" w:line="480" w:lineRule="auto"/>
        <w:ind w:left="390"/>
        <w:textAlignment w:val="auto"/>
      </w:pPr>
      <w:r>
        <w:rPr>
          <w:rFonts w:ascii="Times New Roman" w:eastAsia="Times New Roman" w:hAnsi="Times New Roman" w:cs="Times New Roman"/>
          <w:b/>
          <w:bCs/>
          <w:sz w:val="24"/>
          <w:szCs w:val="24"/>
        </w:rPr>
        <w:t>Mastectomy:</w:t>
      </w:r>
      <w:r>
        <w:rPr>
          <w:rFonts w:ascii="Times New Roman" w:eastAsia="Times New Roman" w:hAnsi="Times New Roman" w:cs="Times New Roman"/>
          <w:sz w:val="24"/>
          <w:szCs w:val="24"/>
        </w:rPr>
        <w:t> Mastectomy, or removal of the breast, is recommended in some cases.</w:t>
      </w:r>
    </w:p>
    <w:p w:rsidR="00215689" w:rsidRDefault="00215689" w:rsidP="00215689">
      <w:pPr>
        <w:numPr>
          <w:ilvl w:val="0"/>
          <w:numId w:val="5"/>
        </w:numPr>
        <w:tabs>
          <w:tab w:val="left" w:pos="720"/>
        </w:tabs>
        <w:suppressAutoHyphens w:val="0"/>
        <w:spacing w:before="100" w:after="100" w:line="480" w:lineRule="auto"/>
        <w:ind w:left="390"/>
        <w:textAlignment w:val="auto"/>
      </w:pPr>
      <w:r>
        <w:rPr>
          <w:rFonts w:ascii="Times New Roman" w:eastAsia="Times New Roman" w:hAnsi="Times New Roman" w:cs="Times New Roman"/>
          <w:b/>
          <w:bCs/>
          <w:sz w:val="24"/>
          <w:szCs w:val="24"/>
        </w:rPr>
        <w:lastRenderedPageBreak/>
        <w:t>Lumpectomy alone</w:t>
      </w:r>
    </w:p>
    <w:p w:rsidR="00215689" w:rsidRDefault="00215689" w:rsidP="00215689">
      <w:pPr>
        <w:numPr>
          <w:ilvl w:val="0"/>
          <w:numId w:val="5"/>
        </w:numPr>
        <w:tabs>
          <w:tab w:val="left" w:pos="720"/>
        </w:tabs>
        <w:suppressAutoHyphens w:val="0"/>
        <w:spacing w:before="100" w:after="100" w:line="480" w:lineRule="auto"/>
        <w:ind w:left="390"/>
        <w:textAlignment w:val="auto"/>
      </w:pPr>
      <w:r>
        <w:rPr>
          <w:rFonts w:ascii="Times New Roman" w:eastAsia="Times New Roman" w:hAnsi="Times New Roman" w:cs="Times New Roman"/>
          <w:b/>
          <w:bCs/>
          <w:sz w:val="24"/>
          <w:szCs w:val="24"/>
        </w:rPr>
        <w:t>Hormonal therapy after surgery:</w:t>
      </w:r>
      <w:r>
        <w:rPr>
          <w:rFonts w:ascii="Times New Roman" w:eastAsia="Times New Roman" w:hAnsi="Times New Roman" w:cs="Times New Roman"/>
          <w:sz w:val="24"/>
          <w:szCs w:val="24"/>
        </w:rPr>
        <w:t> These treatments, which block or lower the amount of estrogen in the body, are typically used if the DCIS tests positive for hormone receptors</w:t>
      </w:r>
    </w:p>
    <w:p w:rsidR="00215689" w:rsidRDefault="00215689" w:rsidP="00215689">
      <w:pPr>
        <w:spacing w:before="100" w:after="100" w:line="480" w:lineRule="auto"/>
        <w:ind w:firstLine="390"/>
        <w:rPr>
          <w:rFonts w:ascii="Times New Roman" w:hAnsi="Times New Roman" w:cs="Times New Roman"/>
          <w:sz w:val="24"/>
          <w:szCs w:val="24"/>
        </w:rPr>
      </w:pPr>
      <w:r>
        <w:rPr>
          <w:rFonts w:ascii="Times New Roman" w:hAnsi="Times New Roman" w:cs="Times New Roman"/>
          <w:sz w:val="24"/>
          <w:szCs w:val="24"/>
        </w:rPr>
        <w:t xml:space="preserve">DCIS in non-invasive. This means that it does not need chemotherapy treatments. Cancer cells remain within the breast. Lumpectomy alone works out for these patients. It removes the infected DCIS area and also the health tissue that are around it. Re-excision lumpectomy is a further lumpectomy that targets to remove the extra tissue ensuring a clear margin of healthy tissues around the infection. Lumpectomy can as well be followed by radiation therapy to completely rid of growth cells. </w:t>
      </w:r>
    </w:p>
    <w:p w:rsidR="00215689" w:rsidRDefault="00215689" w:rsidP="00215689">
      <w:pPr>
        <w:spacing w:before="100" w:after="100" w:line="480" w:lineRule="auto"/>
        <w:ind w:firstLine="720"/>
        <w:rPr>
          <w:rFonts w:ascii="Times New Roman" w:hAnsi="Times New Roman" w:cs="Times New Roman"/>
          <w:sz w:val="24"/>
          <w:szCs w:val="24"/>
        </w:rPr>
      </w:pPr>
      <w:r>
        <w:rPr>
          <w:rFonts w:ascii="Times New Roman" w:hAnsi="Times New Roman" w:cs="Times New Roman"/>
          <w:sz w:val="24"/>
          <w:szCs w:val="24"/>
        </w:rPr>
        <w:t>Mastectomy is a treatment that removes the breast organ. This only happens when the tumor covers a large area or having multiplied in different parts of the breast (multifocal disease situation).</w:t>
      </w:r>
    </w:p>
    <w:p w:rsidR="00215689" w:rsidRDefault="00215689" w:rsidP="00215689">
      <w:pPr>
        <w:spacing w:before="100" w:after="100" w:line="480" w:lineRule="auto"/>
        <w:ind w:firstLine="720"/>
      </w:pPr>
      <w:r>
        <w:rPr>
          <w:rFonts w:ascii="Times New Roman" w:hAnsi="Times New Roman" w:cs="Times New Roman"/>
          <w:sz w:val="24"/>
          <w:szCs w:val="24"/>
        </w:rPr>
        <w:t xml:space="preserve">Hormonal therapy is also an option for this type of breast cancer. It is carried for people who have low instances of developing the trait in the future. This entails adding hormones to the surgery process and then radiating for DCIS to minimize tumor growth. Hormone receptors testing is vital to ensure compatibility and match hormone receptors. DCIS is tested in the following ways: </w:t>
      </w:r>
      <w:hyperlink r:id="rId40" w:tooltip="Tamoxifen" w:history="1">
        <w:r>
          <w:rPr>
            <w:rStyle w:val="Hyperlink"/>
            <w:rFonts w:ascii="Times New Roman" w:hAnsi="Times New Roman" w:cs="Times New Roman"/>
            <w:b/>
            <w:bCs/>
            <w:sz w:val="24"/>
            <w:szCs w:val="24"/>
          </w:rPr>
          <w:t>Tamoxifen</w:t>
        </w:r>
      </w:hyperlink>
      <w:r>
        <w:rPr>
          <w:rFonts w:ascii="Times New Roman" w:hAnsi="Times New Roman" w:cs="Times New Roman"/>
          <w:sz w:val="24"/>
          <w:szCs w:val="24"/>
        </w:rPr>
        <w:t xml:space="preserve">/Nolvadex can be used for early-stage cancers that are hormone-receptor-positive, instead of or following radiation treatment after lumpectomy. Tamoxifen "pretends" to be estrogen and attaches to the receptors on the breast cancer cells, taking the place of real estrogen. As a result, the cells don't receive the signal to grow. People with hormone-receptor-positive cancer who take tamoxifen can lower their risk of having an invasive cancer or a non-invasive cancer come back. </w:t>
      </w:r>
      <w:hyperlink r:id="rId41" w:tooltip="Aromatase Inhibitors" w:history="1">
        <w:r>
          <w:rPr>
            <w:rStyle w:val="Hyperlink"/>
            <w:rFonts w:ascii="Times New Roman" w:hAnsi="Times New Roman" w:cs="Times New Roman"/>
            <w:b/>
            <w:bCs/>
            <w:sz w:val="24"/>
            <w:szCs w:val="24"/>
          </w:rPr>
          <w:t>Aromatase inhibitors</w:t>
        </w:r>
      </w:hyperlink>
      <w:r>
        <w:rPr>
          <w:rFonts w:ascii="Times New Roman" w:hAnsi="Times New Roman" w:cs="Times New Roman"/>
          <w:sz w:val="24"/>
          <w:szCs w:val="24"/>
        </w:rPr>
        <w:t xml:space="preserve"> such as Arimidex (chemical name: anastrozole), Femara (chemical name: letrozole), and Aromasin (chemical name: exemestane) </w:t>
      </w:r>
      <w:r>
        <w:rPr>
          <w:rFonts w:ascii="Times New Roman" w:hAnsi="Times New Roman" w:cs="Times New Roman"/>
          <w:sz w:val="24"/>
          <w:szCs w:val="24"/>
        </w:rPr>
        <w:lastRenderedPageBreak/>
        <w:t>are being studied in clinical trials to find out if they are effective in reducing the risk of recurrence in people with DCIS. These medications reduce the amount of estrogen produced in a woman's body after she goes through menopause. The main sources of the hormone for those women are the adrenal glands and fat tissue, not the ovaries.</w:t>
      </w:r>
    </w:p>
    <w:p w:rsidR="00215689" w:rsidRDefault="00215689" w:rsidP="00215689">
      <w:pPr>
        <w:pStyle w:val="Subtitle"/>
        <w:spacing w:before="100" w:after="100" w:line="480" w:lineRule="auto"/>
      </w:pPr>
      <w:r>
        <w:rPr>
          <w:rFonts w:ascii="Times New Roman" w:hAnsi="Times New Roman"/>
          <w:b/>
          <w:color w:val="auto"/>
          <w:sz w:val="24"/>
          <w:szCs w:val="24"/>
        </w:rPr>
        <w:t>HER2+ overexpression</w:t>
      </w:r>
    </w:p>
    <w:p w:rsidR="00215689" w:rsidRDefault="00215689" w:rsidP="00215689">
      <w:pPr>
        <w:pStyle w:val="NormalWeb"/>
        <w:shd w:val="clear" w:color="auto" w:fill="FFFFFF"/>
        <w:spacing w:line="480" w:lineRule="auto"/>
        <w:ind w:firstLine="720"/>
      </w:pPr>
      <w:r>
        <w:t>HER2 </w:t>
      </w:r>
      <w:hyperlink r:id="rId42" w:history="1">
        <w:r>
          <w:rPr>
            <w:rStyle w:val="Hyperlink"/>
          </w:rPr>
          <w:t>protein</w:t>
        </w:r>
      </w:hyperlink>
      <w:r>
        <w:t> overexpression occurs in 18–20% of breast cancer (</w:t>
      </w:r>
      <w:hyperlink r:id="rId43" w:history="1">
        <w:r>
          <w:rPr>
            <w:rStyle w:val="Hyperlink"/>
          </w:rPr>
          <w:t>Owens et al. 2004</w:t>
        </w:r>
      </w:hyperlink>
      <w:r>
        <w:t>; </w:t>
      </w:r>
      <w:hyperlink r:id="rId44" w:history="1">
        <w:r>
          <w:rPr>
            <w:rStyle w:val="Hyperlink"/>
          </w:rPr>
          <w:t>Slamon et al. 1987</w:t>
        </w:r>
      </w:hyperlink>
      <w:r>
        <w:t>; </w:t>
      </w:r>
      <w:hyperlink r:id="rId45" w:history="1">
        <w:r>
          <w:rPr>
            <w:rStyle w:val="Hyperlink"/>
          </w:rPr>
          <w:t>Yaziji et al. 2004</w:t>
        </w:r>
      </w:hyperlink>
      <w:r>
        <w:t>). HER2 protein overexpression is measured using immunohistochemistry (IHC), with staining patterns classified as 0, 1+, 2+ and 3+ (3+ is defined as uniform intense membrane staining of &gt; 30% of invasive tumor cells; </w:t>
      </w:r>
      <w:hyperlink r:id="rId46" w:history="1">
        <w:r>
          <w:rPr>
            <w:rStyle w:val="Hyperlink"/>
          </w:rPr>
          <w:t>Wolff et al. 2007</w:t>
        </w:r>
      </w:hyperlink>
      <w:r>
        <w:t>). HER2 protein overexpression test results are grouped into the three statuses shown in Table 2 (</w:t>
      </w:r>
      <w:hyperlink r:id="rId47" w:history="1">
        <w:r>
          <w:rPr>
            <w:rStyle w:val="Hyperlink"/>
          </w:rPr>
          <w:t>Wolff et al. 2007</w:t>
        </w:r>
      </w:hyperlink>
      <w:r>
        <w:t>).</w:t>
      </w:r>
    </w:p>
    <w:p w:rsidR="00215689" w:rsidRDefault="00215689" w:rsidP="00215689">
      <w:pPr>
        <w:pStyle w:val="NormalWeb"/>
        <w:shd w:val="clear" w:color="auto" w:fill="FFFFFF"/>
        <w:spacing w:line="480" w:lineRule="auto"/>
        <w:ind w:firstLine="720"/>
      </w:pPr>
      <w:r>
        <w:t>Trastuzumab is a HER2-targeting monoclonal </w:t>
      </w:r>
      <w:hyperlink r:id="rId48" w:history="1">
        <w:r>
          <w:rPr>
            <w:rStyle w:val="Hyperlink"/>
          </w:rPr>
          <w:t>antibody</w:t>
        </w:r>
      </w:hyperlink>
      <w:r>
        <w:t> approved for the treatment of HER2 overexpressing breast cancer (</w:t>
      </w:r>
      <w:hyperlink r:id="rId49" w:history="1">
        <w:r>
          <w:rPr>
            <w:rStyle w:val="Hyperlink"/>
          </w:rPr>
          <w:t>FDA 1998</w:t>
        </w:r>
      </w:hyperlink>
      <w:r>
        <w:t>).</w:t>
      </w:r>
    </w:p>
    <w:p w:rsidR="00215689" w:rsidRDefault="00215689" w:rsidP="00215689">
      <w:pPr>
        <w:pStyle w:val="NormalWeb"/>
        <w:shd w:val="clear" w:color="auto" w:fill="FFFFFF"/>
        <w:spacing w:line="480" w:lineRule="auto"/>
      </w:pPr>
      <w:r>
        <w:t>Ado-trastuzumab emtansine is a HER2-targeting monoclonal </w:t>
      </w:r>
      <w:hyperlink r:id="rId50" w:history="1">
        <w:r>
          <w:rPr>
            <w:rStyle w:val="Hyperlink"/>
          </w:rPr>
          <w:t>antibody</w:t>
        </w:r>
      </w:hyperlink>
      <w:r>
        <w:t> and microtubule inhibitor conjugate approved for the treatment of HER2 overexpressing metastatic breast cancer after treatment with trastuzumab and a taxane (</w:t>
      </w:r>
      <w:hyperlink r:id="rId51" w:history="1">
        <w:r>
          <w:rPr>
            <w:rStyle w:val="Hyperlink"/>
          </w:rPr>
          <w:t>FDA 2013</w:t>
        </w:r>
      </w:hyperlink>
      <w:r>
        <w:t>).</w:t>
      </w:r>
    </w:p>
    <w:p w:rsidR="00215689" w:rsidRDefault="00215689" w:rsidP="00215689">
      <w:pPr>
        <w:pStyle w:val="NormalWeb"/>
        <w:shd w:val="clear" w:color="auto" w:fill="FFFFFF"/>
        <w:spacing w:line="480" w:lineRule="auto"/>
      </w:pPr>
      <w:r>
        <w:t>Pertuzumab is a HER2 </w:t>
      </w:r>
      <w:hyperlink r:id="rId52" w:history="1">
        <w:r>
          <w:rPr>
            <w:rStyle w:val="Hyperlink"/>
          </w:rPr>
          <w:t>receptor</w:t>
        </w:r>
      </w:hyperlink>
      <w:r>
        <w:t> antagonist approved in combination with trastuzumab and docetaxel for the treatment of HER2 overexpressing breast cancer (</w:t>
      </w:r>
      <w:hyperlink r:id="rId53" w:history="1">
        <w:r>
          <w:rPr>
            <w:rStyle w:val="Hyperlink"/>
          </w:rPr>
          <w:t>FDA 2012</w:t>
        </w:r>
      </w:hyperlink>
      <w:r>
        <w:t>).</w:t>
      </w:r>
    </w:p>
    <w:p w:rsidR="00215689" w:rsidRDefault="00215689" w:rsidP="00215689">
      <w:pPr>
        <w:pStyle w:val="NormalWeb"/>
        <w:shd w:val="clear" w:color="auto" w:fill="FFFFFF"/>
        <w:spacing w:line="480" w:lineRule="auto"/>
        <w:ind w:firstLine="720"/>
      </w:pPr>
      <w:r>
        <w:t>Lapatinib is a small-molecule EGFR/HER2 inhibitor approved in combination with capecitabine or letrozole for types of HER2 overexpressing breast cancer (</w:t>
      </w:r>
      <w:hyperlink r:id="rId54" w:history="1">
        <w:r>
          <w:rPr>
            <w:rStyle w:val="Hyperlink"/>
          </w:rPr>
          <w:t>FDA 2007</w:t>
        </w:r>
      </w:hyperlink>
      <w:r>
        <w:t>).</w:t>
      </w:r>
    </w:p>
    <w:p w:rsidR="00215689" w:rsidRDefault="00215689" w:rsidP="00215689">
      <w:pPr>
        <w:pStyle w:val="NormalWeb"/>
        <w:shd w:val="clear" w:color="auto" w:fill="FFFFFF"/>
        <w:spacing w:line="480" w:lineRule="auto"/>
      </w:pPr>
      <w:r>
        <w:lastRenderedPageBreak/>
        <w:t>In a phase II trial, first-line HER2 positive breast cancer patients treated with neratinib experienced a 56% response rate and a median progression-free survival of 39.6 months (</w:t>
      </w:r>
      <w:hyperlink r:id="rId55" w:history="1">
        <w:r>
          <w:rPr>
            <w:rStyle w:val="Hyperlink"/>
          </w:rPr>
          <w:t>Burstein et al. 2010</w:t>
        </w:r>
      </w:hyperlink>
      <w:r>
        <w:t>). ​​​</w:t>
      </w:r>
    </w:p>
    <w:p w:rsidR="00215689" w:rsidRDefault="00215689" w:rsidP="00215689">
      <w:pPr>
        <w:spacing w:before="100" w:after="100" w:line="480" w:lineRule="auto"/>
      </w:pPr>
      <w:r>
        <w:rPr>
          <w:rFonts w:ascii="Times New Roman" w:hAnsi="Times New Roman" w:cs="Times New Roman"/>
          <w:sz w:val="24"/>
          <w:szCs w:val="24"/>
        </w:rPr>
        <w:br/>
      </w:r>
      <w:r>
        <w:rPr>
          <w:rFonts w:ascii="Times New Roman" w:hAnsi="Times New Roman" w:cs="Times New Roman"/>
          <w:b/>
          <w:bCs/>
          <w:sz w:val="24"/>
          <w:szCs w:val="24"/>
        </w:rPr>
        <w:t>Table 2.</w:t>
      </w:r>
      <w:r>
        <w:rPr>
          <w:rFonts w:ascii="Times New Roman" w:hAnsi="Times New Roman" w:cs="Times New Roman"/>
          <w:sz w:val="24"/>
          <w:szCs w:val="24"/>
        </w:rPr>
        <w:t> HER2 Status by IHC (</w:t>
      </w:r>
      <w:hyperlink r:id="rId56" w:history="1">
        <w:r>
          <w:rPr>
            <w:rStyle w:val="Hyperlink"/>
            <w:rFonts w:ascii="Times New Roman" w:hAnsi="Times New Roman" w:cs="Times New Roman"/>
            <w:sz w:val="24"/>
            <w:szCs w:val="24"/>
          </w:rPr>
          <w:t>Wolff et al. 2007</w:t>
        </w:r>
      </w:hyperlink>
      <w:r>
        <w:rPr>
          <w:rFonts w:ascii="Times New Roman" w:hAnsi="Times New Roman" w:cs="Times New Roman"/>
          <w:sz w:val="24"/>
          <w:szCs w:val="24"/>
        </w:rPr>
        <w:t>).</w:t>
      </w:r>
    </w:p>
    <w:tbl>
      <w:tblPr>
        <w:tblW w:w="5108" w:type="dxa"/>
        <w:tblCellMar>
          <w:left w:w="10" w:type="dxa"/>
          <w:right w:w="10" w:type="dxa"/>
        </w:tblCellMar>
        <w:tblLook w:val="0000" w:firstRow="0" w:lastRow="0" w:firstColumn="0" w:lastColumn="0" w:noHBand="0" w:noVBand="0"/>
      </w:tblPr>
      <w:tblGrid>
        <w:gridCol w:w="1641"/>
        <w:gridCol w:w="3467"/>
      </w:tblGrid>
      <w:tr w:rsidR="00215689" w:rsidTr="00A00C1C">
        <w:tblPrEx>
          <w:tblCellMar>
            <w:top w:w="0" w:type="dxa"/>
            <w:bottom w:w="0" w:type="dxa"/>
          </w:tblCellMar>
        </w:tblPrEx>
        <w:tc>
          <w:tcPr>
            <w:tcW w:w="1641" w:type="dxa"/>
            <w:tcBorders>
              <w:top w:val="single" w:sz="6" w:space="0" w:color="C8C8C8"/>
              <w:left w:val="single" w:sz="6" w:space="0" w:color="C8C8C8"/>
              <w:bottom w:val="single" w:sz="6" w:space="0" w:color="C8C8C8"/>
              <w:right w:val="single" w:sz="6" w:space="0" w:color="C8C8C8"/>
            </w:tcBorders>
            <w:shd w:val="clear" w:color="auto" w:fill="ECECEC"/>
            <w:tcMar>
              <w:top w:w="105" w:type="dxa"/>
              <w:left w:w="150" w:type="dxa"/>
              <w:bottom w:w="105" w:type="dxa"/>
              <w:right w:w="150" w:type="dxa"/>
            </w:tcMar>
          </w:tcPr>
          <w:p w:rsidR="00215689" w:rsidRDefault="00215689" w:rsidP="00A00C1C">
            <w:pPr>
              <w:spacing w:before="100" w:after="100" w:line="480" w:lineRule="auto"/>
              <w:rPr>
                <w:rFonts w:ascii="Times New Roman" w:hAnsi="Times New Roman" w:cs="Times New Roman"/>
                <w:b/>
                <w:bCs/>
                <w:sz w:val="24"/>
                <w:szCs w:val="24"/>
              </w:rPr>
            </w:pPr>
            <w:r>
              <w:rPr>
                <w:rFonts w:ascii="Times New Roman" w:hAnsi="Times New Roman" w:cs="Times New Roman"/>
                <w:b/>
                <w:bCs/>
                <w:sz w:val="24"/>
                <w:szCs w:val="24"/>
              </w:rPr>
              <w:t>HER2 Status</w:t>
            </w:r>
          </w:p>
        </w:tc>
        <w:tc>
          <w:tcPr>
            <w:tcW w:w="3467" w:type="dxa"/>
            <w:tcBorders>
              <w:top w:val="single" w:sz="6" w:space="0" w:color="C8C8C8"/>
              <w:left w:val="single" w:sz="6" w:space="0" w:color="C8C8C8"/>
              <w:bottom w:val="single" w:sz="6" w:space="0" w:color="C8C8C8"/>
              <w:right w:val="single" w:sz="6" w:space="0" w:color="C8C8C8"/>
            </w:tcBorders>
            <w:shd w:val="clear" w:color="auto" w:fill="ECECEC"/>
            <w:tcMar>
              <w:top w:w="105" w:type="dxa"/>
              <w:left w:w="150" w:type="dxa"/>
              <w:bottom w:w="105" w:type="dxa"/>
              <w:right w:w="150" w:type="dxa"/>
            </w:tcMar>
          </w:tcPr>
          <w:p w:rsidR="00215689" w:rsidRDefault="00215689" w:rsidP="00A00C1C">
            <w:pPr>
              <w:spacing w:before="100" w:after="100" w:line="480" w:lineRule="auto"/>
              <w:rPr>
                <w:rFonts w:ascii="Times New Roman" w:hAnsi="Times New Roman" w:cs="Times New Roman"/>
                <w:b/>
                <w:bCs/>
                <w:sz w:val="24"/>
                <w:szCs w:val="24"/>
              </w:rPr>
            </w:pPr>
            <w:r>
              <w:rPr>
                <w:rFonts w:ascii="Times New Roman" w:hAnsi="Times New Roman" w:cs="Times New Roman"/>
                <w:b/>
                <w:bCs/>
                <w:sz w:val="24"/>
                <w:szCs w:val="24"/>
              </w:rPr>
              <w:t>IHC HER2 Protein Expression</w:t>
            </w:r>
          </w:p>
        </w:tc>
      </w:tr>
      <w:tr w:rsidR="00215689" w:rsidTr="00A00C1C">
        <w:tblPrEx>
          <w:tblCellMar>
            <w:top w:w="0" w:type="dxa"/>
            <w:bottom w:w="0" w:type="dxa"/>
          </w:tblCellMar>
        </w:tblPrEx>
        <w:tc>
          <w:tcPr>
            <w:tcW w:w="1641" w:type="dxa"/>
            <w:tcBorders>
              <w:top w:val="single" w:sz="6" w:space="0" w:color="C8C8C8"/>
              <w:left w:val="single" w:sz="6" w:space="0" w:color="C8C8C8"/>
              <w:bottom w:val="single" w:sz="6" w:space="0" w:color="C8C8C8"/>
              <w:right w:val="single" w:sz="6" w:space="0" w:color="C8C8C8"/>
            </w:tcBorders>
            <w:shd w:val="clear" w:color="auto" w:fill="FFFFFF"/>
            <w:tcMar>
              <w:top w:w="105" w:type="dxa"/>
              <w:left w:w="150" w:type="dxa"/>
              <w:bottom w:w="105" w:type="dxa"/>
              <w:right w:w="150" w:type="dxa"/>
            </w:tcMar>
          </w:tcPr>
          <w:p w:rsidR="00215689" w:rsidRDefault="00215689" w:rsidP="00A00C1C">
            <w:pPr>
              <w:spacing w:before="100" w:after="100" w:line="480" w:lineRule="auto"/>
              <w:rPr>
                <w:rFonts w:ascii="Times New Roman" w:hAnsi="Times New Roman" w:cs="Times New Roman"/>
                <w:sz w:val="24"/>
                <w:szCs w:val="24"/>
              </w:rPr>
            </w:pPr>
            <w:r>
              <w:rPr>
                <w:rFonts w:ascii="Times New Roman" w:hAnsi="Times New Roman" w:cs="Times New Roman"/>
                <w:sz w:val="24"/>
                <w:szCs w:val="24"/>
              </w:rPr>
              <w:t>Positive</w:t>
            </w:r>
          </w:p>
        </w:tc>
        <w:tc>
          <w:tcPr>
            <w:tcW w:w="3467" w:type="dxa"/>
            <w:tcBorders>
              <w:top w:val="single" w:sz="6" w:space="0" w:color="C8C8C8"/>
              <w:left w:val="single" w:sz="6" w:space="0" w:color="C8C8C8"/>
              <w:bottom w:val="single" w:sz="6" w:space="0" w:color="C8C8C8"/>
              <w:right w:val="single" w:sz="6" w:space="0" w:color="C8C8C8"/>
            </w:tcBorders>
            <w:shd w:val="clear" w:color="auto" w:fill="FFFFFF"/>
            <w:tcMar>
              <w:top w:w="105" w:type="dxa"/>
              <w:left w:w="150" w:type="dxa"/>
              <w:bottom w:w="105" w:type="dxa"/>
              <w:right w:w="150" w:type="dxa"/>
            </w:tcMar>
          </w:tcPr>
          <w:p w:rsidR="00215689" w:rsidRDefault="00215689" w:rsidP="00A00C1C">
            <w:pPr>
              <w:spacing w:before="100" w:after="100" w:line="480" w:lineRule="auto"/>
              <w:rPr>
                <w:rFonts w:ascii="Times New Roman" w:hAnsi="Times New Roman" w:cs="Times New Roman"/>
                <w:sz w:val="24"/>
                <w:szCs w:val="24"/>
              </w:rPr>
            </w:pPr>
            <w:r>
              <w:rPr>
                <w:rFonts w:ascii="Times New Roman" w:hAnsi="Times New Roman" w:cs="Times New Roman"/>
                <w:sz w:val="24"/>
                <w:szCs w:val="24"/>
              </w:rPr>
              <w:t>3+</w:t>
            </w:r>
          </w:p>
        </w:tc>
      </w:tr>
      <w:tr w:rsidR="00215689" w:rsidTr="00A00C1C">
        <w:tblPrEx>
          <w:tblCellMar>
            <w:top w:w="0" w:type="dxa"/>
            <w:bottom w:w="0" w:type="dxa"/>
          </w:tblCellMar>
        </w:tblPrEx>
        <w:tc>
          <w:tcPr>
            <w:tcW w:w="1641" w:type="dxa"/>
            <w:tcBorders>
              <w:top w:val="single" w:sz="6" w:space="0" w:color="C8C8C8"/>
              <w:left w:val="single" w:sz="6" w:space="0" w:color="C8C8C8"/>
              <w:bottom w:val="single" w:sz="6" w:space="0" w:color="C8C8C8"/>
              <w:right w:val="single" w:sz="6" w:space="0" w:color="C8C8C8"/>
            </w:tcBorders>
            <w:shd w:val="clear" w:color="auto" w:fill="FFFFFF"/>
            <w:tcMar>
              <w:top w:w="105" w:type="dxa"/>
              <w:left w:w="150" w:type="dxa"/>
              <w:bottom w:w="105" w:type="dxa"/>
              <w:right w:w="150" w:type="dxa"/>
            </w:tcMar>
          </w:tcPr>
          <w:p w:rsidR="00215689" w:rsidRDefault="00215689" w:rsidP="00A00C1C">
            <w:pPr>
              <w:spacing w:before="100" w:after="100" w:line="480" w:lineRule="auto"/>
              <w:rPr>
                <w:rFonts w:ascii="Times New Roman" w:hAnsi="Times New Roman" w:cs="Times New Roman"/>
                <w:sz w:val="24"/>
                <w:szCs w:val="24"/>
              </w:rPr>
            </w:pPr>
            <w:r>
              <w:rPr>
                <w:rFonts w:ascii="Times New Roman" w:hAnsi="Times New Roman" w:cs="Times New Roman"/>
                <w:sz w:val="24"/>
                <w:szCs w:val="24"/>
              </w:rPr>
              <w:t>Equivocal</w:t>
            </w:r>
          </w:p>
        </w:tc>
        <w:tc>
          <w:tcPr>
            <w:tcW w:w="3467" w:type="dxa"/>
            <w:tcBorders>
              <w:top w:val="single" w:sz="6" w:space="0" w:color="C8C8C8"/>
              <w:left w:val="single" w:sz="6" w:space="0" w:color="C8C8C8"/>
              <w:bottom w:val="single" w:sz="6" w:space="0" w:color="C8C8C8"/>
              <w:right w:val="single" w:sz="6" w:space="0" w:color="C8C8C8"/>
            </w:tcBorders>
            <w:shd w:val="clear" w:color="auto" w:fill="FFFFFF"/>
            <w:tcMar>
              <w:top w:w="105" w:type="dxa"/>
              <w:left w:w="150" w:type="dxa"/>
              <w:bottom w:w="105" w:type="dxa"/>
              <w:right w:w="150" w:type="dxa"/>
            </w:tcMar>
          </w:tcPr>
          <w:p w:rsidR="00215689" w:rsidRDefault="00215689" w:rsidP="00A00C1C">
            <w:pPr>
              <w:spacing w:before="100" w:after="100" w:line="480" w:lineRule="auto"/>
              <w:rPr>
                <w:rFonts w:ascii="Times New Roman" w:hAnsi="Times New Roman" w:cs="Times New Roman"/>
                <w:sz w:val="24"/>
                <w:szCs w:val="24"/>
              </w:rPr>
            </w:pPr>
            <w:r>
              <w:rPr>
                <w:rFonts w:ascii="Times New Roman" w:hAnsi="Times New Roman" w:cs="Times New Roman"/>
                <w:sz w:val="24"/>
                <w:szCs w:val="24"/>
              </w:rPr>
              <w:t>2+</w:t>
            </w:r>
          </w:p>
        </w:tc>
      </w:tr>
      <w:tr w:rsidR="00215689" w:rsidTr="00A00C1C">
        <w:tblPrEx>
          <w:tblCellMar>
            <w:top w:w="0" w:type="dxa"/>
            <w:bottom w:w="0" w:type="dxa"/>
          </w:tblCellMar>
        </w:tblPrEx>
        <w:tc>
          <w:tcPr>
            <w:tcW w:w="1641" w:type="dxa"/>
            <w:tcBorders>
              <w:top w:val="single" w:sz="6" w:space="0" w:color="C8C8C8"/>
              <w:left w:val="single" w:sz="6" w:space="0" w:color="C8C8C8"/>
              <w:bottom w:val="single" w:sz="6" w:space="0" w:color="C8C8C8"/>
              <w:right w:val="single" w:sz="6" w:space="0" w:color="C8C8C8"/>
            </w:tcBorders>
            <w:shd w:val="clear" w:color="auto" w:fill="FFFFFF"/>
            <w:tcMar>
              <w:top w:w="105" w:type="dxa"/>
              <w:left w:w="150" w:type="dxa"/>
              <w:bottom w:w="105" w:type="dxa"/>
              <w:right w:w="150" w:type="dxa"/>
            </w:tcMar>
          </w:tcPr>
          <w:p w:rsidR="00215689" w:rsidRDefault="00215689" w:rsidP="00A00C1C">
            <w:pPr>
              <w:spacing w:before="100" w:after="100" w:line="480" w:lineRule="auto"/>
              <w:rPr>
                <w:rFonts w:ascii="Times New Roman" w:hAnsi="Times New Roman" w:cs="Times New Roman"/>
                <w:sz w:val="24"/>
                <w:szCs w:val="24"/>
              </w:rPr>
            </w:pPr>
            <w:r>
              <w:rPr>
                <w:rFonts w:ascii="Times New Roman" w:hAnsi="Times New Roman" w:cs="Times New Roman"/>
                <w:sz w:val="24"/>
                <w:szCs w:val="24"/>
              </w:rPr>
              <w:t>Negative</w:t>
            </w:r>
          </w:p>
        </w:tc>
        <w:tc>
          <w:tcPr>
            <w:tcW w:w="3467" w:type="dxa"/>
            <w:tcBorders>
              <w:top w:val="single" w:sz="6" w:space="0" w:color="C8C8C8"/>
              <w:left w:val="single" w:sz="6" w:space="0" w:color="C8C8C8"/>
              <w:bottom w:val="single" w:sz="6" w:space="0" w:color="C8C8C8"/>
              <w:right w:val="single" w:sz="6" w:space="0" w:color="C8C8C8"/>
            </w:tcBorders>
            <w:shd w:val="clear" w:color="auto" w:fill="FFFFFF"/>
            <w:tcMar>
              <w:top w:w="105" w:type="dxa"/>
              <w:left w:w="150" w:type="dxa"/>
              <w:bottom w:w="105" w:type="dxa"/>
              <w:right w:w="150" w:type="dxa"/>
            </w:tcMar>
          </w:tcPr>
          <w:p w:rsidR="00215689" w:rsidRDefault="00215689" w:rsidP="00A00C1C">
            <w:pPr>
              <w:spacing w:before="100" w:after="100" w:line="480" w:lineRule="auto"/>
              <w:rPr>
                <w:rFonts w:ascii="Times New Roman" w:hAnsi="Times New Roman" w:cs="Times New Roman"/>
                <w:sz w:val="24"/>
                <w:szCs w:val="24"/>
              </w:rPr>
            </w:pPr>
            <w:r>
              <w:rPr>
                <w:rFonts w:ascii="Times New Roman" w:hAnsi="Times New Roman" w:cs="Times New Roman"/>
                <w:sz w:val="24"/>
                <w:szCs w:val="24"/>
              </w:rPr>
              <w:t>0–1+</w:t>
            </w:r>
          </w:p>
        </w:tc>
      </w:tr>
    </w:tbl>
    <w:p w:rsidR="00215689" w:rsidRDefault="00215689" w:rsidP="00215689">
      <w:pPr>
        <w:spacing w:before="100" w:after="100" w:line="480" w:lineRule="auto"/>
        <w:rPr>
          <w:rFonts w:ascii="Times New Roman" w:hAnsi="Times New Roman" w:cs="Times New Roman"/>
          <w:sz w:val="24"/>
          <w:szCs w:val="24"/>
        </w:rPr>
      </w:pPr>
      <w:r>
        <w:rPr>
          <w:rFonts w:ascii="Times New Roman" w:hAnsi="Times New Roman" w:cs="Times New Roman"/>
          <w:sz w:val="24"/>
          <w:szCs w:val="24"/>
        </w:rPr>
        <w:br/>
      </w:r>
    </w:p>
    <w:p w:rsidR="00215689" w:rsidRDefault="00215689" w:rsidP="00215689">
      <w:pPr>
        <w:pStyle w:val="NormalWeb"/>
        <w:shd w:val="clear" w:color="auto" w:fill="FFFFFF"/>
        <w:spacing w:line="480" w:lineRule="auto"/>
        <w:ind w:firstLine="720"/>
      </w:pPr>
      <w:r>
        <w:t>HER2 testing guidelines provided by the National Comprehensive Cancer Network (NCCN) state that initial IHC testing resulting in an equivocal status should be re-assessed by FISH methods (</w:t>
      </w:r>
      <w:hyperlink r:id="rId57" w:history="1">
        <w:r>
          <w:rPr>
            <w:rStyle w:val="Hyperlink"/>
          </w:rPr>
          <w:t>NCCN 2012</w:t>
        </w:r>
      </w:hyperlink>
      <w:r>
        <w:t>). If IHC is equivocal and FISH results are &gt;2, the patient should be treated as HER2 positive. Equivocal FISH results should be re-assessed by IHC methods, retested using FISH methods, or additional cells should be evaluated (</w:t>
      </w:r>
      <w:hyperlink r:id="rId58" w:history="1">
        <w:r>
          <w:rPr>
            <w:rStyle w:val="Hyperlink"/>
          </w:rPr>
          <w:t>NCCN 2012</w:t>
        </w:r>
      </w:hyperlink>
      <w:r>
        <w:t>).</w:t>
      </w:r>
    </w:p>
    <w:p w:rsidR="00215689" w:rsidRDefault="00215689" w:rsidP="00215689">
      <w:pPr>
        <w:pStyle w:val="NormalWeb"/>
        <w:shd w:val="clear" w:color="auto" w:fill="FFFFFF"/>
        <w:spacing w:line="480" w:lineRule="auto"/>
      </w:pPr>
      <w:r>
        <w:t>HER2 </w:t>
      </w:r>
      <w:hyperlink r:id="rId59" w:history="1">
        <w:r>
          <w:rPr>
            <w:rStyle w:val="Hyperlink"/>
          </w:rPr>
          <w:t>protein</w:t>
        </w:r>
      </w:hyperlink>
      <w:r>
        <w:t> overexpression is predictive for patient outcomes with HER2-targeting agents (</w:t>
      </w:r>
      <w:hyperlink r:id="rId60" w:history="1">
        <w:r>
          <w:rPr>
            <w:rStyle w:val="Hyperlink"/>
          </w:rPr>
          <w:t>Wolff et al. 2007</w:t>
        </w:r>
      </w:hyperlink>
      <w:r>
        <w:t>). Several targeted agents are approved for the treatment of HER2 positive breast cancer.</w:t>
      </w:r>
    </w:p>
    <w:p w:rsidR="00215689" w:rsidRDefault="00215689" w:rsidP="00215689">
      <w:pPr>
        <w:spacing w:before="100" w:after="100" w:line="480" w:lineRule="auto"/>
        <w:rPr>
          <w:rFonts w:ascii="Times New Roman" w:hAnsi="Times New Roman" w:cs="Times New Roman"/>
          <w:sz w:val="24"/>
          <w:szCs w:val="24"/>
        </w:rPr>
      </w:pPr>
    </w:p>
    <w:p w:rsidR="00215689" w:rsidRDefault="00215689" w:rsidP="00215689">
      <w:pPr>
        <w:pStyle w:val="Title"/>
        <w:spacing w:before="100" w:after="100" w:line="480" w:lineRule="auto"/>
        <w:jc w:val="center"/>
        <w:rPr>
          <w:rFonts w:ascii="Times New Roman" w:hAnsi="Times New Roman"/>
          <w:sz w:val="24"/>
          <w:szCs w:val="24"/>
        </w:rPr>
      </w:pPr>
    </w:p>
    <w:p w:rsidR="00215689" w:rsidRDefault="00215689" w:rsidP="00215689">
      <w:pPr>
        <w:pStyle w:val="Title"/>
        <w:spacing w:before="100" w:after="100" w:line="480" w:lineRule="auto"/>
        <w:jc w:val="center"/>
        <w:rPr>
          <w:rFonts w:ascii="Times New Roman" w:hAnsi="Times New Roman"/>
          <w:sz w:val="24"/>
          <w:szCs w:val="24"/>
        </w:rPr>
      </w:pPr>
    </w:p>
    <w:p w:rsidR="00215689" w:rsidRDefault="00215689" w:rsidP="00215689">
      <w:pPr>
        <w:pStyle w:val="Title"/>
        <w:spacing w:before="100" w:after="100" w:line="480" w:lineRule="auto"/>
        <w:jc w:val="center"/>
        <w:rPr>
          <w:rFonts w:ascii="Times New Roman" w:hAnsi="Times New Roman"/>
          <w:sz w:val="24"/>
          <w:szCs w:val="24"/>
        </w:rPr>
      </w:pPr>
      <w:r>
        <w:rPr>
          <w:rFonts w:ascii="Times New Roman" w:hAnsi="Times New Roman"/>
          <w:sz w:val="24"/>
          <w:szCs w:val="24"/>
        </w:rPr>
        <w:t>CHAPTER 2</w:t>
      </w:r>
    </w:p>
    <w:p w:rsidR="00215689" w:rsidRDefault="00215689" w:rsidP="00215689">
      <w:pPr>
        <w:pStyle w:val="Subtitle"/>
        <w:spacing w:before="100" w:after="100" w:line="480" w:lineRule="auto"/>
        <w:rPr>
          <w:rFonts w:ascii="Times New Roman" w:hAnsi="Times New Roman"/>
          <w:b/>
          <w:color w:val="auto"/>
          <w:sz w:val="24"/>
          <w:szCs w:val="24"/>
        </w:rPr>
      </w:pPr>
      <w:r>
        <w:rPr>
          <w:rFonts w:ascii="Times New Roman" w:hAnsi="Times New Roman"/>
          <w:b/>
          <w:color w:val="auto"/>
          <w:sz w:val="24"/>
          <w:szCs w:val="24"/>
        </w:rPr>
        <w:t>Introduction to monoclonal antibodies</w:t>
      </w:r>
    </w:p>
    <w:p w:rsidR="00215689" w:rsidRDefault="00215689" w:rsidP="00215689">
      <w:pPr>
        <w:spacing w:before="100" w:after="100" w:line="480" w:lineRule="auto"/>
        <w:ind w:firstLine="720"/>
      </w:pPr>
      <w:r>
        <w:rPr>
          <w:rFonts w:ascii="Times New Roman" w:hAnsi="Times New Roman" w:cs="Times New Roman"/>
          <w:sz w:val="24"/>
          <w:szCs w:val="24"/>
        </w:rPr>
        <w:t xml:space="preserve">Little et al, discusses monoclonal antibodies as cells that come to being as a result of the biology of cell division (2000). When single ancestral cells divide, they give rise to monoclonal antibodies. They usually </w:t>
      </w:r>
      <w:r>
        <w:rPr>
          <w:rFonts w:ascii="Times New Roman" w:hAnsi="Times New Roman" w:cs="Times New Roman"/>
          <w:sz w:val="24"/>
          <w:szCs w:val="24"/>
          <w:shd w:val="clear" w:color="auto" w:fill="FFFFFF"/>
        </w:rPr>
        <w:t xml:space="preserve">are monovalent antibodies which bind to the same epitope and are produced from a single B-lymphocyte clone. They are very specific to particular parts of the body. Monoclonal antibodies are aware of antigens, they bind the antigens striking a discrimination between particular epitopes which protect against disease organisms. Usually, they target proteins that would tamper with cell activity on a normal cell or cancerous cells, for example receptors. The target is to destroy cancer cells and not harm healthy cells. This is done by them binding cancerous cells incorporating a cytotoxic agent. </w:t>
      </w:r>
    </w:p>
    <w:p w:rsidR="00215689" w:rsidRDefault="00215689" w:rsidP="00215689">
      <w:pPr>
        <w:pStyle w:val="Subtitle"/>
        <w:spacing w:before="100" w:after="100" w:line="480" w:lineRule="auto"/>
        <w:rPr>
          <w:rFonts w:ascii="Times New Roman" w:hAnsi="Times New Roman"/>
          <w:b/>
          <w:color w:val="auto"/>
          <w:sz w:val="24"/>
          <w:szCs w:val="24"/>
          <w:shd w:val="clear" w:color="auto" w:fill="FFFFFF"/>
        </w:rPr>
      </w:pPr>
      <w:r>
        <w:rPr>
          <w:rFonts w:ascii="Times New Roman" w:hAnsi="Times New Roman"/>
          <w:b/>
          <w:color w:val="auto"/>
          <w:sz w:val="24"/>
          <w:szCs w:val="24"/>
          <w:shd w:val="clear" w:color="auto" w:fill="FFFFFF"/>
        </w:rPr>
        <w:t>History of Monoclonal Antibodies</w:t>
      </w:r>
    </w:p>
    <w:p w:rsidR="00215689" w:rsidRDefault="00215689" w:rsidP="00215689">
      <w:pPr>
        <w:spacing w:before="100" w:after="100" w:line="480" w:lineRule="auto"/>
        <w:ind w:firstLine="720"/>
      </w:pPr>
      <w:r>
        <w:rPr>
          <w:rStyle w:val="element-citation"/>
          <w:rFonts w:ascii="Times New Roman" w:hAnsi="Times New Roman" w:cs="Times New Roman"/>
          <w:sz w:val="24"/>
          <w:szCs w:val="24"/>
        </w:rPr>
        <w:t xml:space="preserve">According to Köhler G., Milstein C, monoclonal antibodies were first generated in mice with the help of the hybridoma technique (1975). Generation of hybridoma is not complicated as it includes immunization a species against particular epitope on an antigen, then attaining </w:t>
      </w:r>
      <w:r>
        <w:rPr>
          <w:rFonts w:ascii="Times New Roman" w:hAnsi="Times New Roman" w:cs="Times New Roman"/>
          <w:sz w:val="24"/>
          <w:szCs w:val="24"/>
          <w:shd w:val="clear" w:color="auto" w:fill="FFFFFF"/>
        </w:rPr>
        <w:t>the B-lymphocytes from the spleen of the animal. The B-lymphocytes are then fused (by chemical- or virus-induced methods) with an immortal myeloma cell line lacking the hypoxanthine-guanine-phosphoribosyltransferase (HGPRT) gene and not containing any other immunoglobulin-producing cells. These hybridoma cells are then cultured </w:t>
      </w:r>
      <w:r>
        <w:rPr>
          <w:rStyle w:val="Emphasis"/>
          <w:rFonts w:ascii="Times New Roman" w:hAnsi="Times New Roman" w:cs="Times New Roman"/>
          <w:sz w:val="24"/>
          <w:szCs w:val="24"/>
          <w:shd w:val="clear" w:color="auto" w:fill="FFFFFF"/>
        </w:rPr>
        <w:t>in vitro</w:t>
      </w:r>
      <w:r>
        <w:rPr>
          <w:rFonts w:ascii="Times New Roman" w:hAnsi="Times New Roman" w:cs="Times New Roman"/>
          <w:sz w:val="24"/>
          <w:szCs w:val="24"/>
          <w:shd w:val="clear" w:color="auto" w:fill="FFFFFF"/>
        </w:rPr>
        <w:t xml:space="preserve"> in selective medium (i.e. </w:t>
      </w:r>
      <w:r>
        <w:rPr>
          <w:rFonts w:ascii="Times New Roman" w:hAnsi="Times New Roman" w:cs="Times New Roman"/>
          <w:sz w:val="24"/>
          <w:szCs w:val="24"/>
          <w:shd w:val="clear" w:color="auto" w:fill="FFFFFF"/>
        </w:rPr>
        <w:lastRenderedPageBreak/>
        <w:t>medium containing hypoxanthine-aminopterin-thymidine) where only the hybridomas (i.e. the fusion between the primary B-lymphocytes and myeloma cells) survive as they have inherited immortality from the myeloma cells and selective-resistance from the primary B-lymphocytes (as the myeloma cells lack HGPRT, they cannot synthesise nucleotides </w:t>
      </w:r>
      <w:r>
        <w:rPr>
          <w:rStyle w:val="Emphasis"/>
          <w:rFonts w:ascii="Times New Roman" w:hAnsi="Times New Roman" w:cs="Times New Roman"/>
          <w:sz w:val="24"/>
          <w:szCs w:val="24"/>
          <w:shd w:val="clear" w:color="auto" w:fill="FFFFFF"/>
        </w:rPr>
        <w:t>de novo</w:t>
      </w:r>
      <w:r>
        <w:rPr>
          <w:rFonts w:ascii="Times New Roman" w:hAnsi="Times New Roman" w:cs="Times New Roman"/>
          <w:sz w:val="24"/>
          <w:szCs w:val="24"/>
          <w:shd w:val="clear" w:color="auto" w:fill="FFFFFF"/>
        </w:rPr>
        <w:t> as this is inhibited by aminopterin in the selective medium) </w:t>
      </w:r>
      <w:hyperlink r:id="rId61" w:history="1">
        <w:r>
          <w:rPr>
            <w:rStyle w:val="Hyperlink"/>
            <w:rFonts w:ascii="Times New Roman" w:hAnsi="Times New Roman" w:cs="Times New Roman"/>
            <w:sz w:val="24"/>
            <w:szCs w:val="24"/>
            <w:shd w:val="clear" w:color="auto" w:fill="FFFFFF"/>
          </w:rPr>
          <w:t>[4]</w:t>
        </w:r>
      </w:hyperlink>
      <w:r>
        <w:rPr>
          <w:rFonts w:ascii="Times New Roman" w:hAnsi="Times New Roman" w:cs="Times New Roman"/>
          <w:sz w:val="24"/>
          <w:szCs w:val="24"/>
          <w:shd w:val="clear" w:color="auto" w:fill="FFFFFF"/>
        </w:rPr>
        <w:t>. The initial culture of hybridomas contains a mixture of antibodies derived from many different primary B-lymphocyte clones, each secreting its own individual specific antibody into the culture medium (i.e. the antibodies are still polyclonal). Each individual clone can be separated by dilution into different culture wells. The cell culture medium can then be screened from many hundreds of different wells for the specific antibody activity required and the desired B-lymphocytes grown from the positive wells and then recloned and retested for activity </w:t>
      </w:r>
      <w:hyperlink r:id="rId62" w:history="1">
        <w:r>
          <w:rPr>
            <w:rStyle w:val="Hyperlink"/>
            <w:rFonts w:ascii="Times New Roman" w:hAnsi="Times New Roman" w:cs="Times New Roman"/>
            <w:sz w:val="24"/>
            <w:szCs w:val="24"/>
            <w:shd w:val="clear" w:color="auto" w:fill="FFFFFF"/>
          </w:rPr>
          <w:t>[6]</w:t>
        </w:r>
      </w:hyperlink>
      <w:r>
        <w:rPr>
          <w:rFonts w:ascii="Times New Roman" w:hAnsi="Times New Roman" w:cs="Times New Roman"/>
          <w:sz w:val="24"/>
          <w:szCs w:val="24"/>
          <w:shd w:val="clear" w:color="auto" w:fill="FFFFFF"/>
        </w:rPr>
        <w:t>. The positive hybridomas and monoclonal antibodies generated can then be stored away in liquid nitrogen.</w:t>
      </w:r>
    </w:p>
    <w:p w:rsidR="00215689" w:rsidRDefault="00215689" w:rsidP="00215689">
      <w:pPr>
        <w:spacing w:before="100" w:after="100" w:line="480" w:lineRule="auto"/>
        <w:rPr>
          <w:rFonts w:ascii="Times New Roman" w:hAnsi="Times New Roman" w:cs="Times New Roman"/>
          <w:sz w:val="24"/>
          <w:szCs w:val="24"/>
          <w:shd w:val="clear" w:color="auto" w:fill="FFFFFF"/>
        </w:rPr>
      </w:pPr>
    </w:p>
    <w:p w:rsidR="00215689" w:rsidRDefault="00215689" w:rsidP="00215689">
      <w:pPr>
        <w:pStyle w:val="Subtitle"/>
        <w:spacing w:before="100" w:after="100" w:line="480" w:lineRule="auto"/>
        <w:rPr>
          <w:rFonts w:ascii="Times New Roman" w:hAnsi="Times New Roman"/>
          <w:b/>
          <w:color w:val="auto"/>
          <w:sz w:val="24"/>
          <w:szCs w:val="24"/>
          <w:shd w:val="clear" w:color="auto" w:fill="FFFFFF"/>
        </w:rPr>
      </w:pPr>
      <w:r>
        <w:rPr>
          <w:rFonts w:ascii="Times New Roman" w:hAnsi="Times New Roman"/>
          <w:b/>
          <w:color w:val="auto"/>
          <w:sz w:val="24"/>
          <w:szCs w:val="24"/>
          <w:shd w:val="clear" w:color="auto" w:fill="FFFFFF"/>
        </w:rPr>
        <w:t>Types of therapeutic monoclonal antibodies</w:t>
      </w:r>
    </w:p>
    <w:p w:rsidR="00215689" w:rsidRDefault="00215689" w:rsidP="00215689">
      <w:pPr>
        <w:spacing w:before="100" w:after="100" w:line="480" w:lineRule="auto"/>
        <w:ind w:firstLine="720"/>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Monoclonal antibodies are used to treat and prevent diseases among them cancer, arthritis, sclerosis, cardiovascular among others. This kind of treatment is known as immunotherapy, since each type of monoclonal antibody is specific, I.e. its targets a specific antigen in the body. There are so many monoclonal antibodies that have been approved over the years. a) Reopro or abciximab which is a blood thinner and used to bar blood from clotting as vessels open up the heart. It’s mostly used with heparin and aspirin b) Adalimumab or Humira or Amjevita – it is an injection antibody that controls extremes by blocking inflammatory effects of tumor necrosis factor in cancerous cells, c) alefacept or Amevive which is also injectable and controls psoriasis disease by suppressing the immune system, d) alemtuzumab or Campath- this </w:t>
      </w:r>
      <w:r>
        <w:rPr>
          <w:rFonts w:ascii="Times New Roman" w:hAnsi="Times New Roman" w:cs="Times New Roman"/>
          <w:sz w:val="24"/>
          <w:szCs w:val="24"/>
          <w:shd w:val="clear" w:color="auto" w:fill="FFFFFF"/>
        </w:rPr>
        <w:lastRenderedPageBreak/>
        <w:t xml:space="preserve">is an antibody which targets protein CD52 found on the face of lymphocytes, e) basiliximab or Simulect which is used majorly to boost compatibility of organs in bodies of patients. Other types include: belimumab or Benlysta, bezlotoxumab or Zinolava, canakinumab or Ilarisinflectra or Remicable etcetera. Each has a role in treating a targeted disease. </w:t>
      </w:r>
    </w:p>
    <w:p w:rsidR="00215689" w:rsidRDefault="00215689" w:rsidP="00215689">
      <w:pPr>
        <w:pStyle w:val="Subtitle"/>
        <w:spacing w:before="100" w:after="100" w:line="480" w:lineRule="auto"/>
        <w:rPr>
          <w:rFonts w:ascii="Times New Roman" w:hAnsi="Times New Roman"/>
          <w:b/>
          <w:color w:val="auto"/>
          <w:sz w:val="24"/>
          <w:szCs w:val="24"/>
          <w:shd w:val="clear" w:color="auto" w:fill="FFFFFF"/>
        </w:rPr>
      </w:pPr>
      <w:r>
        <w:rPr>
          <w:rFonts w:ascii="Times New Roman" w:hAnsi="Times New Roman"/>
          <w:b/>
          <w:color w:val="auto"/>
          <w:sz w:val="24"/>
          <w:szCs w:val="24"/>
          <w:shd w:val="clear" w:color="auto" w:fill="FFFFFF"/>
        </w:rPr>
        <w:t>Engineering monoclonal antibodies</w:t>
      </w:r>
    </w:p>
    <w:p w:rsidR="00215689" w:rsidRDefault="00215689" w:rsidP="00215689">
      <w:pPr>
        <w:spacing w:before="100" w:after="100" w:line="480" w:lineRule="auto"/>
        <w:ind w:firstLine="720"/>
      </w:pPr>
      <w:r>
        <w:rPr>
          <w:rFonts w:ascii="Times New Roman" w:hAnsi="Times New Roman" w:cs="Times New Roman"/>
          <w:sz w:val="24"/>
          <w:szCs w:val="24"/>
          <w:shd w:val="clear" w:color="auto" w:fill="FFFFFF"/>
        </w:rPr>
        <w:t xml:space="preserve">The classification of therapeutic monoclonal antibodies (mAbs) by the different antibody types — murine, chimeric, humanized and human.Advances in genetic engineering techniques have contributed to the development of humanized therapeutic mAbs. The fundamental structure of an intact, single immunoglobulin G (IgG) molecule has a pair of light chains (orange/red) and a pair of heavy chains (yellow/pink). Light chains are composed of two separate regions (one variable region (VL) and one constant region (CL)), whereas heavy chains are composed of four regions (VH, CH1, CH2 and CH3). The complementarity-determining regions (CDRs) are found in the variable fragment (Fv) portion of the antigen-binding fragment (Fab). Chimeric mAbs such as cetuximab and rituximab are constructed with variable regions (VL and VH) derived from a murine source and constant regions derived from a human source. Humanized therapeutic mAbs are predominantly derived from a human source except for the CDRs, which are murine. There are currently four approved humanized mAbs. Both murine and human mAbs are entirely derived from mouse and human sources, respectively. Panitumumab (ABX–EGF) is a fully human anti-epidermal growth factor receptor (EGFR) mAb, but has not yet been approved. Furthermore, several mAbs (marked with an asterisk) are armed with cytotoxins including radionucleotides or a bacterial toxin (see text for further details). There is a significant difference between the IgG subclasses in terms of their half-lives in the blood (IgG1, IgG2 and IgG4 approximately 21 days; IgG3 approximately 7 days) and in terms of their capability to activate </w:t>
      </w:r>
      <w:r>
        <w:rPr>
          <w:rFonts w:ascii="Times New Roman" w:hAnsi="Times New Roman" w:cs="Times New Roman"/>
          <w:sz w:val="24"/>
          <w:szCs w:val="24"/>
          <w:shd w:val="clear" w:color="auto" w:fill="FFFFFF"/>
        </w:rPr>
        <w:lastRenderedPageBreak/>
        <w:t>the classical complement pathway and to bind Fc-receptors (see the legend of ). The choice of an IgG subclass is a key factor in determining the efficacy of therapeutic mAbs. Most of the approved mAbs shown here belong to the IgG1 subclass, which has a long half-life and triggers potent immune-effector functions such as complement-dependent cytotoxicity (CDC), complement-dependent cell-mediated cytotoxicity (CDCC) and antibody-dependent cellular cytotoxicity (ADCC). On the other hand, panitumumab is an IgG2 subclass that does not show potent CDC and ADCC, but it has recently shown its efficacy in a phase III trial as a monotherapy for the treatment of metastatic colorectal cancer. VEGF, vascular endothelial growth factor.</w:t>
      </w:r>
      <w:r>
        <w:rPr>
          <w:rFonts w:ascii="Times New Roman" w:hAnsi="Times New Roman" w:cs="Times New Roman"/>
          <w:noProof/>
          <w:sz w:val="24"/>
          <w:szCs w:val="24"/>
          <w:shd w:val="clear" w:color="auto" w:fill="FFFFFF"/>
        </w:rPr>
        <w:drawing>
          <wp:inline distT="0" distB="0" distL="0" distR="0" wp14:anchorId="336B31C7" wp14:editId="32616F9E">
            <wp:extent cx="5762621" cy="3067053"/>
            <wp:effectExtent l="0" t="0" r="0" b="0"/>
            <wp:docPr id="3" name="Picture 6"/>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3"/>
                    <a:stretch>
                      <a:fillRect/>
                    </a:stretch>
                  </pic:blipFill>
                  <pic:spPr>
                    <a:xfrm>
                      <a:off x="0" y="0"/>
                      <a:ext cx="5762621" cy="3067053"/>
                    </a:xfrm>
                    <a:prstGeom prst="rect">
                      <a:avLst/>
                    </a:prstGeom>
                    <a:noFill/>
                    <a:ln>
                      <a:noFill/>
                      <a:prstDash/>
                    </a:ln>
                  </pic:spPr>
                </pic:pic>
              </a:graphicData>
            </a:graphic>
          </wp:inline>
        </w:drawing>
      </w:r>
    </w:p>
    <w:p w:rsidR="00215689" w:rsidRDefault="00215689" w:rsidP="00215689">
      <w:pPr>
        <w:spacing w:before="100" w:after="100" w:line="480" w:lineRule="auto"/>
        <w:ind w:firstLine="720"/>
      </w:pPr>
      <w:r>
        <w:rPr>
          <w:rFonts w:ascii="Times New Roman" w:hAnsi="Times New Roman" w:cs="Times New Roman"/>
          <w:noProof/>
          <w:sz w:val="24"/>
          <w:szCs w:val="24"/>
          <w:shd w:val="clear" w:color="auto" w:fill="FFFFFF"/>
        </w:rPr>
        <w:lastRenderedPageBreak/>
        <w:drawing>
          <wp:inline distT="0" distB="0" distL="0" distR="0" wp14:anchorId="5F03CF72" wp14:editId="303A3A75">
            <wp:extent cx="3063239" cy="2430776"/>
            <wp:effectExtent l="0" t="0" r="3811" b="7624"/>
            <wp:docPr id="4" name="Picture 7"/>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4"/>
                    <a:stretch>
                      <a:fillRect/>
                    </a:stretch>
                  </pic:blipFill>
                  <pic:spPr>
                    <a:xfrm>
                      <a:off x="0" y="0"/>
                      <a:ext cx="3063239" cy="2430776"/>
                    </a:xfrm>
                    <a:prstGeom prst="rect">
                      <a:avLst/>
                    </a:prstGeom>
                    <a:noFill/>
                    <a:ln>
                      <a:noFill/>
                      <a:prstDash/>
                    </a:ln>
                  </pic:spPr>
                </pic:pic>
              </a:graphicData>
            </a:graphic>
          </wp:inline>
        </w:drawing>
      </w:r>
    </w:p>
    <w:p w:rsidR="00215689" w:rsidRDefault="00215689" w:rsidP="00215689">
      <w:pPr>
        <w:pStyle w:val="Subtitle"/>
        <w:spacing w:before="100" w:after="100" w:line="480" w:lineRule="auto"/>
        <w:rPr>
          <w:rFonts w:ascii="Times New Roman" w:hAnsi="Times New Roman"/>
          <w:color w:val="auto"/>
          <w:sz w:val="24"/>
          <w:szCs w:val="24"/>
          <w:shd w:val="clear" w:color="auto" w:fill="FFFFFF"/>
        </w:rPr>
      </w:pPr>
    </w:p>
    <w:p w:rsidR="00215689" w:rsidRDefault="00215689" w:rsidP="00215689">
      <w:pPr>
        <w:pStyle w:val="Subtitle"/>
        <w:spacing w:before="100" w:after="100" w:line="480" w:lineRule="auto"/>
        <w:rPr>
          <w:rFonts w:ascii="Times New Roman" w:hAnsi="Times New Roman"/>
          <w:color w:val="auto"/>
          <w:sz w:val="24"/>
          <w:szCs w:val="24"/>
          <w:shd w:val="clear" w:color="auto" w:fill="FFFFFF"/>
        </w:rPr>
      </w:pPr>
    </w:p>
    <w:p w:rsidR="00215689" w:rsidRDefault="00215689" w:rsidP="00215689">
      <w:pPr>
        <w:pStyle w:val="Subtitle"/>
        <w:spacing w:before="100" w:after="100" w:line="480" w:lineRule="auto"/>
        <w:rPr>
          <w:rFonts w:ascii="Times New Roman" w:hAnsi="Times New Roman"/>
          <w:color w:val="auto"/>
          <w:sz w:val="24"/>
          <w:szCs w:val="24"/>
          <w:shd w:val="clear" w:color="auto" w:fill="FFFFFF"/>
        </w:rPr>
      </w:pPr>
    </w:p>
    <w:p w:rsidR="00215689" w:rsidRDefault="00215689" w:rsidP="00215689">
      <w:pPr>
        <w:pStyle w:val="Subtitle"/>
        <w:spacing w:before="100" w:after="100" w:line="480" w:lineRule="auto"/>
      </w:pPr>
      <w:r>
        <w:rPr>
          <w:rFonts w:ascii="Times New Roman" w:hAnsi="Times New Roman"/>
          <w:color w:val="auto"/>
          <w:sz w:val="24"/>
          <w:szCs w:val="24"/>
          <w:shd w:val="clear" w:color="auto" w:fill="FFFFFF"/>
        </w:rPr>
        <w:t xml:space="preserve"> </w:t>
      </w:r>
      <w:r>
        <w:rPr>
          <w:rFonts w:ascii="Times New Roman" w:hAnsi="Times New Roman"/>
          <w:b/>
          <w:color w:val="auto"/>
          <w:sz w:val="24"/>
          <w:szCs w:val="24"/>
          <w:shd w:val="clear" w:color="auto" w:fill="FFFFFF"/>
        </w:rPr>
        <w:t>Problems and future prospects of Monoclonal antibodies</w:t>
      </w:r>
    </w:p>
    <w:p w:rsidR="00215689" w:rsidRDefault="00215689" w:rsidP="00215689">
      <w:pPr>
        <w:spacing w:before="100" w:after="100" w:line="480" w:lineRule="auto"/>
        <w:ind w:firstLine="720"/>
      </w:pPr>
      <w:r>
        <w:rPr>
          <w:rFonts w:ascii="Times New Roman" w:hAnsi="Times New Roman" w:cs="Times New Roman"/>
          <w:sz w:val="24"/>
          <w:szCs w:val="24"/>
          <w:shd w:val="clear" w:color="auto" w:fill="FFFFFF"/>
        </w:rPr>
        <w:t>The first licenced monoclonal antibody was Orthoclone OKT3 (muromonab-CD3) which was approved in 1986 for use in preventing kidney transplant rejection </w:t>
      </w:r>
      <w:hyperlink r:id="rId65" w:history="1">
        <w:r>
          <w:rPr>
            <w:rStyle w:val="Hyperlink"/>
            <w:rFonts w:ascii="Times New Roman" w:hAnsi="Times New Roman" w:cs="Times New Roman"/>
            <w:sz w:val="24"/>
            <w:szCs w:val="24"/>
            <w:shd w:val="clear" w:color="auto" w:fill="FFFFFF"/>
          </w:rPr>
          <w:t>[7]</w:t>
        </w:r>
      </w:hyperlink>
      <w:r>
        <w:rPr>
          <w:rFonts w:ascii="Times New Roman" w:hAnsi="Times New Roman" w:cs="Times New Roman"/>
          <w:sz w:val="24"/>
          <w:szCs w:val="24"/>
          <w:shd w:val="clear" w:color="auto" w:fill="FFFFFF"/>
        </w:rPr>
        <w:t>. It is a monoclonal mouse IgG2a antibody whose cognate antigen is CD3. It works by binding to and blocking the effects of CD3 expressed on T-lymphocytes. However, its use was limited to acute cases due to reported side-effects (e.g. human anti-mouse antibody response) </w:t>
      </w:r>
      <w:hyperlink r:id="rId66" w:history="1">
        <w:r>
          <w:rPr>
            <w:rStyle w:val="Hyperlink"/>
            <w:rFonts w:ascii="Times New Roman" w:hAnsi="Times New Roman" w:cs="Times New Roman"/>
            <w:sz w:val="24"/>
            <w:szCs w:val="24"/>
            <w:shd w:val="clear" w:color="auto" w:fill="FFFFFF"/>
          </w:rPr>
          <w:t>[8]</w:t>
        </w:r>
      </w:hyperlink>
      <w:r>
        <w:rPr>
          <w:rFonts w:ascii="Times New Roman" w:hAnsi="Times New Roman" w:cs="Times New Roman"/>
          <w:sz w:val="24"/>
          <w:szCs w:val="24"/>
          <w:shd w:val="clear" w:color="auto" w:fill="FFFFFF"/>
        </w:rPr>
        <w:t>. This is representative of the relative lack of early clinical and commercial success of monoclonal antibodies. A major stumbling block was the fact that the production of early monoclonal antibodies was limited by whether or not there was a suitable myeloma cell line available (usually mouse or rat). Hybridomas may also be low yielding or genetically unstable </w:t>
      </w:r>
      <w:hyperlink r:id="rId67" w:history="1">
        <w:r>
          <w:rPr>
            <w:rStyle w:val="Hyperlink"/>
            <w:rFonts w:ascii="Times New Roman" w:hAnsi="Times New Roman" w:cs="Times New Roman"/>
            <w:sz w:val="24"/>
            <w:szCs w:val="24"/>
            <w:shd w:val="clear" w:color="auto" w:fill="FFFFFF"/>
          </w:rPr>
          <w:t>[6]</w:t>
        </w:r>
      </w:hyperlink>
      <w:r>
        <w:rPr>
          <w:rFonts w:ascii="Times New Roman" w:hAnsi="Times New Roman" w:cs="Times New Roman"/>
          <w:sz w:val="24"/>
          <w:szCs w:val="24"/>
          <w:shd w:val="clear" w:color="auto" w:fill="FFFFFF"/>
        </w:rPr>
        <w:t>. More recently, many different expression systems for monoclonal antibodies have been tested, each with contrasting effects. For example, </w:t>
      </w:r>
      <w:r>
        <w:rPr>
          <w:rStyle w:val="Emphasis"/>
          <w:rFonts w:ascii="Times New Roman" w:hAnsi="Times New Roman" w:cs="Times New Roman"/>
          <w:sz w:val="24"/>
          <w:szCs w:val="24"/>
          <w:shd w:val="clear" w:color="auto" w:fill="FFFFFF"/>
        </w:rPr>
        <w:t>E. coli</w:t>
      </w:r>
      <w:r>
        <w:rPr>
          <w:rFonts w:ascii="Times New Roman" w:hAnsi="Times New Roman" w:cs="Times New Roman"/>
          <w:sz w:val="24"/>
          <w:szCs w:val="24"/>
          <w:shd w:val="clear" w:color="auto" w:fill="FFFFFF"/>
        </w:rPr>
        <w:t xml:space="preserve"> was found to be an excellent system for expression of antibody fragments </w:t>
      </w:r>
      <w:r>
        <w:rPr>
          <w:rFonts w:ascii="Times New Roman" w:hAnsi="Times New Roman" w:cs="Times New Roman"/>
          <w:sz w:val="24"/>
          <w:szCs w:val="24"/>
          <w:shd w:val="clear" w:color="auto" w:fill="FFFFFF"/>
        </w:rPr>
        <w:lastRenderedPageBreak/>
        <w:t>such as single-chain variable fragments (scFv) and antigen-binding fragments (Fab) </w:t>
      </w:r>
      <w:hyperlink r:id="rId68" w:history="1">
        <w:r>
          <w:rPr>
            <w:rStyle w:val="Hyperlink"/>
            <w:rFonts w:ascii="Times New Roman" w:hAnsi="Times New Roman" w:cs="Times New Roman"/>
            <w:sz w:val="24"/>
            <w:szCs w:val="24"/>
            <w:shd w:val="clear" w:color="auto" w:fill="FFFFFF"/>
          </w:rPr>
          <w:t>[9]</w:t>
        </w:r>
      </w:hyperlink>
      <w:r>
        <w:rPr>
          <w:rFonts w:ascii="Times New Roman" w:hAnsi="Times New Roman" w:cs="Times New Roman"/>
          <w:sz w:val="24"/>
          <w:szCs w:val="24"/>
          <w:shd w:val="clear" w:color="auto" w:fill="FFFFFF"/>
        </w:rPr>
        <w:t xml:space="preserve">. However, the synthesis of a relatively larger, full-sized antibody (i.e. consisting of 2 heavy chains and 2 light chains joined together by disulphide bridges giving a total molecular weight of </w:t>
      </w:r>
      <w:r>
        <w:rPr>
          <w:rFonts w:ascii="Cambria Math" w:hAnsi="Cambria Math" w:cs="Cambria Math"/>
          <w:sz w:val="24"/>
          <w:szCs w:val="24"/>
          <w:shd w:val="clear" w:color="auto" w:fill="FFFFFF"/>
        </w:rPr>
        <w:t>∼</w:t>
      </w:r>
      <w:r>
        <w:rPr>
          <w:rFonts w:ascii="Times New Roman" w:hAnsi="Times New Roman" w:cs="Times New Roman"/>
          <w:sz w:val="24"/>
          <w:szCs w:val="24"/>
          <w:shd w:val="clear" w:color="auto" w:fill="FFFFFF"/>
        </w:rPr>
        <w:t>150 kDa) may be a step too far for such a relatively small microorganism, although the lack of glycosylating enzymes in </w:t>
      </w:r>
      <w:r>
        <w:rPr>
          <w:rStyle w:val="Emphasis"/>
          <w:rFonts w:ascii="Times New Roman" w:hAnsi="Times New Roman" w:cs="Times New Roman"/>
          <w:sz w:val="24"/>
          <w:szCs w:val="24"/>
          <w:shd w:val="clear" w:color="auto" w:fill="FFFFFF"/>
        </w:rPr>
        <w:t>E. coli</w:t>
      </w:r>
      <w:r>
        <w:rPr>
          <w:rFonts w:ascii="Times New Roman" w:hAnsi="Times New Roman" w:cs="Times New Roman"/>
          <w:sz w:val="24"/>
          <w:szCs w:val="24"/>
          <w:shd w:val="clear" w:color="auto" w:fill="FFFFFF"/>
        </w:rPr>
        <w:t> may also prove to be beneficial for antibodies whose primary role is to block protein–protein interactions as opposed to invoking downstream immune effector responses (e.g. the complement system), which can lead to potential immunogenic side-effects </w:t>
      </w:r>
      <w:hyperlink r:id="rId69" w:history="1">
        <w:r>
          <w:rPr>
            <w:rStyle w:val="Hyperlink"/>
            <w:rFonts w:ascii="Times New Roman" w:hAnsi="Times New Roman" w:cs="Times New Roman"/>
            <w:sz w:val="24"/>
            <w:szCs w:val="24"/>
            <w:shd w:val="clear" w:color="auto" w:fill="FFFFFF"/>
          </w:rPr>
          <w:t>[10]</w:t>
        </w:r>
      </w:hyperlink>
      <w:r>
        <w:rPr>
          <w:rFonts w:ascii="Times New Roman" w:hAnsi="Times New Roman" w:cs="Times New Roman"/>
          <w:sz w:val="24"/>
          <w:szCs w:val="24"/>
          <w:shd w:val="clear" w:color="auto" w:fill="FFFFFF"/>
        </w:rPr>
        <w:t>. Also, the transformation efficiency, and thus the purity of produced humanised monoclonal antibodies, has been found to be low during the use of transgenic animals </w:t>
      </w:r>
      <w:hyperlink r:id="rId70" w:history="1">
        <w:r>
          <w:rPr>
            <w:rStyle w:val="Hyperlink"/>
            <w:rFonts w:ascii="Times New Roman" w:hAnsi="Times New Roman" w:cs="Times New Roman"/>
            <w:sz w:val="24"/>
            <w:szCs w:val="24"/>
            <w:shd w:val="clear" w:color="auto" w:fill="FFFFFF"/>
          </w:rPr>
          <w:t>[11]</w:t>
        </w:r>
      </w:hyperlink>
      <w:r>
        <w:rPr>
          <w:rFonts w:ascii="Times New Roman" w:hAnsi="Times New Roman" w:cs="Times New Roman"/>
          <w:sz w:val="24"/>
          <w:szCs w:val="24"/>
          <w:shd w:val="clear" w:color="auto" w:fill="FFFFFF"/>
        </w:rPr>
        <w:t>. This concept involves the use of animal species for the production of humanised antibodies. For example, endogenous mouse IgG genes can be deleted from transgenic mice and replaced with human copies of the genes. After immunisation, mouse B-lymphocytes synthesise human versions of the respective antibodies and hybridomas can be produced. Its advantages include: cognate pairing of variable heavy and light domains (VH/VL pairing), an </w:t>
      </w:r>
      <w:r>
        <w:rPr>
          <w:rStyle w:val="Emphasis"/>
          <w:rFonts w:ascii="Times New Roman" w:hAnsi="Times New Roman" w:cs="Times New Roman"/>
          <w:sz w:val="24"/>
          <w:szCs w:val="24"/>
          <w:shd w:val="clear" w:color="auto" w:fill="FFFFFF"/>
        </w:rPr>
        <w:t>in vivo</w:t>
      </w:r>
      <w:r>
        <w:rPr>
          <w:rFonts w:ascii="Times New Roman" w:hAnsi="Times New Roman" w:cs="Times New Roman"/>
          <w:sz w:val="24"/>
          <w:szCs w:val="24"/>
          <w:shd w:val="clear" w:color="auto" w:fill="FFFFFF"/>
        </w:rPr>
        <w:t> antibody maturation process which generates higher affinity binding regions and full-length IgG antibodies produced without the need for further cloning </w:t>
      </w:r>
      <w:hyperlink r:id="rId71" w:history="1">
        <w:r>
          <w:rPr>
            <w:rStyle w:val="Hyperlink"/>
            <w:rFonts w:ascii="Times New Roman" w:hAnsi="Times New Roman" w:cs="Times New Roman"/>
            <w:sz w:val="24"/>
            <w:szCs w:val="24"/>
            <w:shd w:val="clear" w:color="auto" w:fill="FFFFFF"/>
          </w:rPr>
          <w:t>[12]</w:t>
        </w:r>
      </w:hyperlink>
      <w:r>
        <w:rPr>
          <w:rFonts w:ascii="Times New Roman" w:hAnsi="Times New Roman" w:cs="Times New Roman"/>
          <w:sz w:val="24"/>
          <w:szCs w:val="24"/>
          <w:shd w:val="clear" w:color="auto" w:fill="FFFFFF"/>
        </w:rPr>
        <w:t>. Obtaining an easy source of monoclonal antibodies has also been explored through the expression of monoclonal antibodies in mammalian milk glands</w:t>
      </w:r>
    </w:p>
    <w:p w:rsidR="00215689" w:rsidRDefault="00215689" w:rsidP="00215689">
      <w:pPr>
        <w:pStyle w:val="Title"/>
        <w:spacing w:before="100" w:after="100" w:line="480" w:lineRule="auto"/>
        <w:rPr>
          <w:rFonts w:ascii="Times New Roman" w:eastAsia="Calibri" w:hAnsi="Times New Roman"/>
          <w:spacing w:val="0"/>
          <w:kern w:val="0"/>
          <w:sz w:val="24"/>
          <w:szCs w:val="24"/>
        </w:rPr>
      </w:pPr>
    </w:p>
    <w:p w:rsidR="00215689" w:rsidRDefault="00215689" w:rsidP="00215689"/>
    <w:p w:rsidR="00215689" w:rsidRDefault="00215689" w:rsidP="00215689">
      <w:pPr>
        <w:pStyle w:val="Title"/>
        <w:spacing w:before="100" w:after="100" w:line="480" w:lineRule="auto"/>
        <w:jc w:val="center"/>
        <w:rPr>
          <w:rFonts w:ascii="Times New Roman" w:hAnsi="Times New Roman"/>
          <w:sz w:val="24"/>
          <w:szCs w:val="24"/>
        </w:rPr>
      </w:pPr>
    </w:p>
    <w:p w:rsidR="00215689" w:rsidRDefault="00215689" w:rsidP="00215689">
      <w:pPr>
        <w:pStyle w:val="Title"/>
        <w:spacing w:before="100" w:after="100" w:line="480" w:lineRule="auto"/>
        <w:jc w:val="center"/>
        <w:rPr>
          <w:rFonts w:ascii="Times New Roman" w:hAnsi="Times New Roman"/>
          <w:sz w:val="24"/>
          <w:szCs w:val="24"/>
        </w:rPr>
      </w:pPr>
      <w:r>
        <w:rPr>
          <w:rFonts w:ascii="Times New Roman" w:hAnsi="Times New Roman"/>
          <w:sz w:val="24"/>
          <w:szCs w:val="24"/>
        </w:rPr>
        <w:t>CHAPTER 3</w:t>
      </w:r>
    </w:p>
    <w:p w:rsidR="00215689" w:rsidRDefault="00215689" w:rsidP="00215689">
      <w:pPr>
        <w:pStyle w:val="Subtitle"/>
        <w:spacing w:before="100" w:after="100" w:line="480" w:lineRule="auto"/>
        <w:rPr>
          <w:rFonts w:ascii="Times New Roman" w:hAnsi="Times New Roman"/>
          <w:b/>
          <w:color w:val="auto"/>
          <w:sz w:val="24"/>
          <w:szCs w:val="24"/>
        </w:rPr>
      </w:pPr>
      <w:r>
        <w:rPr>
          <w:rFonts w:ascii="Times New Roman" w:hAnsi="Times New Roman"/>
          <w:b/>
          <w:color w:val="auto"/>
          <w:sz w:val="24"/>
          <w:szCs w:val="24"/>
        </w:rPr>
        <w:t>Targeted monoclonal antibodies for HER2+ overexpression</w:t>
      </w:r>
    </w:p>
    <w:p w:rsidR="00215689" w:rsidRDefault="00215689" w:rsidP="00215689">
      <w:pPr>
        <w:spacing w:before="100" w:after="100" w:line="480" w:lineRule="auto"/>
        <w:ind w:firstLine="720"/>
      </w:pPr>
      <w:r>
        <w:rPr>
          <w:rFonts w:ascii="Times New Roman" w:hAnsi="Times New Roman" w:cs="Times New Roman"/>
          <w:sz w:val="24"/>
          <w:szCs w:val="24"/>
          <w:shd w:val="clear" w:color="auto" w:fill="FFFFFF"/>
        </w:rPr>
        <w:lastRenderedPageBreak/>
        <w:t>Monoclonal antibodies are monovalent antibodies which bind to the same epitope and are produced from a single B-lymphocyte clone </w:t>
      </w:r>
      <w:hyperlink r:id="rId72" w:history="1">
        <w:r>
          <w:rPr>
            <w:rStyle w:val="Hyperlink"/>
            <w:rFonts w:ascii="Times New Roman" w:hAnsi="Times New Roman" w:cs="Times New Roman"/>
            <w:sz w:val="24"/>
            <w:szCs w:val="24"/>
            <w:shd w:val="clear" w:color="auto" w:fill="FFFFFF"/>
          </w:rPr>
          <w:t>[4]</w:t>
        </w:r>
      </w:hyperlink>
      <w:r>
        <w:rPr>
          <w:rFonts w:ascii="Times New Roman" w:hAnsi="Times New Roman" w:cs="Times New Roman"/>
          <w:sz w:val="24"/>
          <w:szCs w:val="24"/>
          <w:shd w:val="clear" w:color="auto" w:fill="FFFFFF"/>
        </w:rPr>
        <w:t>. They were first generated in mice in 1975 using a hybridoma technique </w:t>
      </w:r>
      <w:hyperlink r:id="rId73" w:history="1">
        <w:r>
          <w:rPr>
            <w:rStyle w:val="Hyperlink"/>
            <w:rFonts w:ascii="Times New Roman" w:hAnsi="Times New Roman" w:cs="Times New Roman"/>
            <w:sz w:val="24"/>
            <w:szCs w:val="24"/>
            <w:shd w:val="clear" w:color="auto" w:fill="FFFFFF"/>
          </w:rPr>
          <w:t>[5]</w:t>
        </w:r>
      </w:hyperlink>
      <w:r>
        <w:rPr>
          <w:rFonts w:ascii="Times New Roman" w:hAnsi="Times New Roman" w:cs="Times New Roman"/>
          <w:sz w:val="24"/>
          <w:szCs w:val="24"/>
          <w:shd w:val="clear" w:color="auto" w:fill="FFFFFF"/>
        </w:rPr>
        <w:t>. The generation of hybridomas involves immunising a certain species against a specific epitope on an antigen and obtaining the B-lymphocytes from the spleen of the animal. The B-lymphocytes are then fused (by chemical- or virus-induced methods) with an immortal myeloma cell line lacking the hypoxanthine-guanine-phosphoribosyltransferase (HGPRT) gene and not containing any other immunoglobulin-producing cells. These hybridoma cells are then cultured </w:t>
      </w:r>
      <w:r>
        <w:rPr>
          <w:rStyle w:val="Emphasis"/>
          <w:rFonts w:ascii="Times New Roman" w:hAnsi="Times New Roman" w:cs="Times New Roman"/>
          <w:sz w:val="24"/>
          <w:szCs w:val="24"/>
          <w:shd w:val="clear" w:color="auto" w:fill="FFFFFF"/>
        </w:rPr>
        <w:t>in vitro</w:t>
      </w:r>
      <w:r>
        <w:rPr>
          <w:rFonts w:ascii="Times New Roman" w:hAnsi="Times New Roman" w:cs="Times New Roman"/>
          <w:sz w:val="24"/>
          <w:szCs w:val="24"/>
          <w:shd w:val="clear" w:color="auto" w:fill="FFFFFF"/>
        </w:rPr>
        <w:t> in selective medium (i.e. medium containing hypoxanthine-aminopterin-thymidine) where only the hybridomas (i.e. the fusion between the primary B-lymphocytes and myeloma cells) survive as they have inherited immortality from the myeloma cells and selective-resistance from the primary B-lymphocytes (as the myeloma cells lack HGPRT, they cannot synthesise nucleotides </w:t>
      </w:r>
      <w:r>
        <w:rPr>
          <w:rStyle w:val="Emphasis"/>
          <w:rFonts w:ascii="Times New Roman" w:hAnsi="Times New Roman" w:cs="Times New Roman"/>
          <w:sz w:val="24"/>
          <w:szCs w:val="24"/>
          <w:shd w:val="clear" w:color="auto" w:fill="FFFFFF"/>
        </w:rPr>
        <w:t>de novo</w:t>
      </w:r>
      <w:r>
        <w:rPr>
          <w:rFonts w:ascii="Times New Roman" w:hAnsi="Times New Roman" w:cs="Times New Roman"/>
          <w:sz w:val="24"/>
          <w:szCs w:val="24"/>
          <w:shd w:val="clear" w:color="auto" w:fill="FFFFFF"/>
        </w:rPr>
        <w:t> as this is inhibited by aminopterin in the selective medium) </w:t>
      </w:r>
      <w:hyperlink r:id="rId74" w:history="1">
        <w:r>
          <w:rPr>
            <w:rStyle w:val="Hyperlink"/>
            <w:rFonts w:ascii="Times New Roman" w:hAnsi="Times New Roman" w:cs="Times New Roman"/>
            <w:sz w:val="24"/>
            <w:szCs w:val="24"/>
            <w:shd w:val="clear" w:color="auto" w:fill="FFFFFF"/>
          </w:rPr>
          <w:t>[4]</w:t>
        </w:r>
      </w:hyperlink>
      <w:r>
        <w:rPr>
          <w:rFonts w:ascii="Times New Roman" w:hAnsi="Times New Roman" w:cs="Times New Roman"/>
          <w:sz w:val="24"/>
          <w:szCs w:val="24"/>
          <w:shd w:val="clear" w:color="auto" w:fill="FFFFFF"/>
        </w:rPr>
        <w:t>. The initial culture of hybridomas contains a mixture of antibodies derived from many different primary B-lymphocyte clones, each secreting its own individual specific antibody into the culture medium (i.e. the antibodies are still polyclonal). Each individual clone can be separated by dilution into different culture wells. The cell culture medium can then be screened from many hundreds of different wells for the specific antibody activity required and the desired B-lymphocytes grown from the positive wells and then recloned and retested for activity </w:t>
      </w:r>
      <w:hyperlink r:id="rId75" w:history="1">
        <w:r>
          <w:rPr>
            <w:rStyle w:val="Hyperlink"/>
            <w:rFonts w:ascii="Times New Roman" w:hAnsi="Times New Roman" w:cs="Times New Roman"/>
            <w:sz w:val="24"/>
            <w:szCs w:val="24"/>
            <w:shd w:val="clear" w:color="auto" w:fill="FFFFFF"/>
          </w:rPr>
          <w:t>[6]</w:t>
        </w:r>
      </w:hyperlink>
      <w:r>
        <w:rPr>
          <w:rFonts w:ascii="Times New Roman" w:hAnsi="Times New Roman" w:cs="Times New Roman"/>
          <w:sz w:val="24"/>
          <w:szCs w:val="24"/>
          <w:shd w:val="clear" w:color="auto" w:fill="FFFFFF"/>
        </w:rPr>
        <w:t>. The positive hybridomas and monoclonal antibodies generated can then be stored away in liquid nitrogen.</w:t>
      </w:r>
    </w:p>
    <w:p w:rsidR="00215689" w:rsidRDefault="00215689" w:rsidP="00215689">
      <w:pPr>
        <w:spacing w:before="100" w:after="100" w:line="480" w:lineRule="auto"/>
        <w:rPr>
          <w:rFonts w:ascii="Times New Roman" w:hAnsi="Times New Roman" w:cs="Times New Roman"/>
          <w:sz w:val="24"/>
          <w:szCs w:val="24"/>
          <w:shd w:val="clear" w:color="auto" w:fill="FFFFFF"/>
        </w:rPr>
      </w:pPr>
    </w:p>
    <w:p w:rsidR="00215689" w:rsidRDefault="00215689" w:rsidP="00215689">
      <w:pPr>
        <w:pStyle w:val="Subtitle"/>
        <w:spacing w:before="100" w:after="100" w:line="480" w:lineRule="auto"/>
        <w:rPr>
          <w:rFonts w:ascii="Times New Roman" w:hAnsi="Times New Roman"/>
          <w:b/>
          <w:color w:val="auto"/>
          <w:sz w:val="24"/>
          <w:szCs w:val="24"/>
          <w:shd w:val="clear" w:color="auto" w:fill="FFFFFF"/>
        </w:rPr>
      </w:pPr>
      <w:r>
        <w:rPr>
          <w:rFonts w:ascii="Times New Roman" w:hAnsi="Times New Roman"/>
          <w:b/>
          <w:color w:val="auto"/>
          <w:sz w:val="24"/>
          <w:szCs w:val="24"/>
          <w:shd w:val="clear" w:color="auto" w:fill="FFFFFF"/>
        </w:rPr>
        <w:t xml:space="preserve">Trastuzumab </w:t>
      </w:r>
    </w:p>
    <w:p w:rsidR="00215689" w:rsidRDefault="00215689" w:rsidP="00215689">
      <w:pPr>
        <w:shd w:val="clear" w:color="auto" w:fill="FFFFFF"/>
        <w:suppressAutoHyphens w:val="0"/>
        <w:spacing w:before="100" w:after="100" w:line="480" w:lineRule="auto"/>
        <w:ind w:firstLine="720"/>
        <w:textAlignment w:val="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Trastuzumab is given by slow intravenous (I.V.) infusion. A healthcare professional gives the infusion once a week or once every 3 weeks. The dose depends on the woman’s weight.</w:t>
      </w:r>
      <w:r>
        <w:rPr>
          <w:rFonts w:ascii="Times New Roman" w:eastAsia="Times New Roman" w:hAnsi="Times New Roman" w:cs="Times New Roman"/>
          <w:sz w:val="24"/>
          <w:szCs w:val="24"/>
        </w:rPr>
        <w:br/>
        <w:t>The first dose of trastuzumab is higher. This is called a ‘loading dose’. It will usually take about 90 minutes and can be slowed or stopped if the woman feels uncomfortable. If the woman doesn’t react to the first infusion, the other infusions will be quicker and the dose will be lower.</w:t>
      </w:r>
    </w:p>
    <w:p w:rsidR="00215689" w:rsidRDefault="00215689" w:rsidP="00215689">
      <w:pPr>
        <w:numPr>
          <w:ilvl w:val="0"/>
          <w:numId w:val="6"/>
        </w:numPr>
        <w:shd w:val="clear" w:color="auto" w:fill="FFFFFF"/>
        <w:tabs>
          <w:tab w:val="left" w:pos="720"/>
        </w:tabs>
        <w:suppressAutoHyphens w:val="0"/>
        <w:spacing w:before="100" w:after="100" w:line="480" w:lineRule="auto"/>
        <w:ind w:left="240"/>
        <w:textAlignment w:val="auto"/>
      </w:pPr>
      <w:r>
        <w:rPr>
          <w:rFonts w:ascii="Times New Roman" w:eastAsia="Times New Roman" w:hAnsi="Times New Roman" w:cs="Times New Roman"/>
          <w:b/>
          <w:bCs/>
          <w:sz w:val="24"/>
          <w:szCs w:val="24"/>
        </w:rPr>
        <w:t>For women with HER2-positive early breast cancer</w:t>
      </w:r>
      <w:r>
        <w:rPr>
          <w:rFonts w:ascii="Times New Roman" w:eastAsia="Times New Roman" w:hAnsi="Times New Roman" w:cs="Times New Roman"/>
          <w:sz w:val="24"/>
          <w:szCs w:val="24"/>
        </w:rPr>
        <w:t>, the current recommendation is to give trastuzumab at the same time as chemotherapy (usually after breast cancer surgery). Trastuzumab can only be given with some types of chemotherapy. This means that trastuzumab treatment may not start right at the beginning of chemotherapy. The current recommendation is to give trastuzumab for 1 year.</w:t>
      </w:r>
    </w:p>
    <w:p w:rsidR="00215689" w:rsidRDefault="00215689" w:rsidP="00215689">
      <w:pPr>
        <w:numPr>
          <w:ilvl w:val="0"/>
          <w:numId w:val="6"/>
        </w:numPr>
        <w:shd w:val="clear" w:color="auto" w:fill="FFFFFF"/>
        <w:tabs>
          <w:tab w:val="left" w:pos="720"/>
        </w:tabs>
        <w:suppressAutoHyphens w:val="0"/>
        <w:spacing w:before="100" w:after="100" w:line="480" w:lineRule="auto"/>
        <w:ind w:left="240"/>
        <w:textAlignment w:val="auto"/>
      </w:pPr>
      <w:r>
        <w:rPr>
          <w:rFonts w:ascii="Times New Roman" w:eastAsia="Times New Roman" w:hAnsi="Times New Roman" w:cs="Times New Roman"/>
          <w:b/>
          <w:bCs/>
          <w:sz w:val="24"/>
          <w:szCs w:val="24"/>
        </w:rPr>
        <w:t>For women with HER2-positive metastatic breast cancer</w:t>
      </w:r>
      <w:r>
        <w:rPr>
          <w:rFonts w:ascii="Times New Roman" w:eastAsia="Times New Roman" w:hAnsi="Times New Roman" w:cs="Times New Roman"/>
          <w:sz w:val="24"/>
          <w:szCs w:val="24"/>
        </w:rPr>
        <w:t>, trastuzumab may be given on its own or with other treatments. Treatment with trastuzumab will usually continue as long as the woman is benefiting from treatment, and as long as the benefits outweigh the risks and side effects.</w:t>
      </w:r>
    </w:p>
    <w:p w:rsidR="00215689" w:rsidRDefault="00215689" w:rsidP="00215689">
      <w:pPr>
        <w:shd w:val="clear" w:color="auto" w:fill="FFFFFF"/>
        <w:suppressAutoHyphens w:val="0"/>
        <w:spacing w:before="100" w:after="100" w:line="480" w:lineRule="auto"/>
        <w:textAlignment w:val="auto"/>
        <w:rPr>
          <w:rFonts w:ascii="Times New Roman" w:eastAsia="Times New Roman" w:hAnsi="Times New Roman" w:cs="Times New Roman"/>
          <w:sz w:val="24"/>
          <w:szCs w:val="24"/>
        </w:rPr>
      </w:pPr>
      <w:r>
        <w:rPr>
          <w:rFonts w:ascii="Times New Roman" w:eastAsia="Times New Roman" w:hAnsi="Times New Roman" w:cs="Times New Roman"/>
          <w:sz w:val="24"/>
          <w:szCs w:val="24"/>
        </w:rPr>
        <w:t>Trastuzumab can be given at the same time as radiotherapy. However, we don’t yet know the long-term effects of giving trastuzumab at the same time as radiotherapy.</w:t>
      </w:r>
    </w:p>
    <w:p w:rsidR="00215689" w:rsidRDefault="00215689" w:rsidP="00215689">
      <w:pPr>
        <w:spacing w:before="100" w:after="100" w:line="480" w:lineRule="auto"/>
        <w:rPr>
          <w:rFonts w:ascii="Times New Roman" w:hAnsi="Times New Roman" w:cs="Times New Roman"/>
          <w:sz w:val="24"/>
          <w:szCs w:val="24"/>
        </w:rPr>
      </w:pPr>
    </w:p>
    <w:p w:rsidR="00215689" w:rsidRDefault="00215689" w:rsidP="00215689">
      <w:pPr>
        <w:pStyle w:val="Subtitle"/>
        <w:spacing w:before="100" w:after="100" w:line="480" w:lineRule="auto"/>
        <w:rPr>
          <w:rFonts w:ascii="Times New Roman" w:hAnsi="Times New Roman"/>
          <w:b/>
          <w:color w:val="auto"/>
          <w:sz w:val="24"/>
          <w:szCs w:val="24"/>
        </w:rPr>
      </w:pPr>
      <w:r>
        <w:rPr>
          <w:rFonts w:ascii="Times New Roman" w:hAnsi="Times New Roman"/>
          <w:b/>
          <w:color w:val="auto"/>
          <w:sz w:val="24"/>
          <w:szCs w:val="24"/>
        </w:rPr>
        <w:t>Mechanism action of anti-HER2 directed therapies</w:t>
      </w:r>
    </w:p>
    <w:p w:rsidR="00215689" w:rsidRDefault="00215689" w:rsidP="00215689">
      <w:pPr>
        <w:spacing w:before="100" w:after="100" w:line="480" w:lineRule="auto"/>
        <w:ind w:firstLine="720"/>
      </w:pPr>
      <w:r>
        <w:rPr>
          <w:rFonts w:ascii="Times New Roman" w:hAnsi="Times New Roman" w:cs="Times New Roman"/>
          <w:sz w:val="24"/>
          <w:szCs w:val="24"/>
          <w:shd w:val="clear" w:color="auto" w:fill="FFFFFF"/>
        </w:rPr>
        <w:t>Primary resistance to single-agent trastuzumab accounts for 66%–88% of HER2-overexpressing breast cancers and can occur in the neoadjuvant as well as the adjuvant setting (</w:t>
      </w:r>
      <w:r>
        <w:rPr>
          <w:rFonts w:ascii="Times New Roman" w:hAnsi="Times New Roman" w:cs="Times New Roman"/>
          <w:sz w:val="24"/>
          <w:szCs w:val="24"/>
        </w:rPr>
        <w:t>2</w:t>
      </w:r>
      <w:r>
        <w:rPr>
          <w:rFonts w:ascii="Times New Roman" w:hAnsi="Times New Roman" w:cs="Times New Roman"/>
          <w:sz w:val="24"/>
          <w:szCs w:val="24"/>
          <w:shd w:val="clear" w:color="auto" w:fill="FFFFFF"/>
        </w:rPr>
        <w:t xml:space="preserve">). Because HER2 is involved in proliferation, survival, angiogenesis, and metastatic spreading, a variety of tumor and host-related factors may account for primary resistance to anti-HER2 </w:t>
      </w:r>
      <w:r>
        <w:rPr>
          <w:rFonts w:ascii="Times New Roman" w:hAnsi="Times New Roman" w:cs="Times New Roman"/>
          <w:sz w:val="24"/>
          <w:szCs w:val="24"/>
          <w:shd w:val="clear" w:color="auto" w:fill="FFFFFF"/>
        </w:rPr>
        <w:lastRenderedPageBreak/>
        <w:t>drugs, as well as acquired resistance to a specific anti-HER2 agent following rapid adaptive changes. The main mechanisms of resistance to HER2 inhibitors (</w:t>
      </w:r>
      <w:r>
        <w:rPr>
          <w:rFonts w:ascii="Times New Roman" w:hAnsi="Times New Roman" w:cs="Times New Roman"/>
          <w:sz w:val="24"/>
          <w:szCs w:val="24"/>
        </w:rPr>
        <w:t>Table 1</w:t>
      </w:r>
      <w:r>
        <w:rPr>
          <w:rFonts w:ascii="Times New Roman" w:hAnsi="Times New Roman" w:cs="Times New Roman"/>
          <w:sz w:val="24"/>
          <w:szCs w:val="24"/>
          <w:shd w:val="clear" w:color="auto" w:fill="FFFFFF"/>
        </w:rPr>
        <w:t>), in addition to those due to altered trafficking of the receptor, are 1) alterations in the binding site, due to masking of epitopes or secretion of truncated HER2 receptor (p95), and mutations in the RTK domain; 2) compensation of the receptor blockade by overexpression of alternative HER ligands or receptors; 3) functional dimerization/interaction of HER receptors with other receptors (ie, insulin-like growth factor-1 receptor [IGF1R], MET, etc.); 4) loss of downstream controllers (eg, PTEN); 5) activation of downstream growth and survival pathways (PI3K-Akt, MEK, mitogen activated protein kinase [MAPK] etc.); 6) other factors including microenvironment, stem cells, chemokine receptors, metabolism, and host-related factors.</w:t>
      </w:r>
    </w:p>
    <w:p w:rsidR="00215689" w:rsidRDefault="00215689" w:rsidP="00215689">
      <w:pPr>
        <w:pStyle w:val="Subtitle"/>
        <w:spacing w:before="100" w:after="100" w:line="480" w:lineRule="auto"/>
        <w:rPr>
          <w:rFonts w:ascii="Times New Roman" w:hAnsi="Times New Roman"/>
          <w:b/>
          <w:color w:val="auto"/>
          <w:sz w:val="24"/>
          <w:szCs w:val="24"/>
          <w:shd w:val="clear" w:color="auto" w:fill="FFFFFF"/>
        </w:rPr>
      </w:pPr>
      <w:r>
        <w:rPr>
          <w:rFonts w:ascii="Times New Roman" w:hAnsi="Times New Roman"/>
          <w:b/>
          <w:color w:val="auto"/>
          <w:sz w:val="24"/>
          <w:szCs w:val="24"/>
          <w:shd w:val="clear" w:color="auto" w:fill="FFFFFF"/>
        </w:rPr>
        <w:t>Synergy of trastuzum with lapatinib</w:t>
      </w:r>
    </w:p>
    <w:p w:rsidR="00215689" w:rsidRDefault="00215689" w:rsidP="00215689">
      <w:pPr>
        <w:pStyle w:val="p"/>
        <w:shd w:val="clear" w:color="auto" w:fill="FFFFFF"/>
        <w:spacing w:line="480" w:lineRule="auto"/>
        <w:ind w:firstLine="720"/>
      </w:pPr>
      <w:r>
        <w:t>Although neoadjuvant chemotherapy has not been shown to be superior or inferior to adjuvant chemotherapy in improving overall survival with locally advanced breast cancer,</w:t>
      </w:r>
      <w:hyperlink r:id="rId76" w:history="1">
        <w:r>
          <w:rPr>
            <w:rStyle w:val="Hyperlink"/>
            <w:vertAlign w:val="superscript"/>
          </w:rPr>
          <w:t>66</w:t>
        </w:r>
      </w:hyperlink>
      <w:r>
        <w:t xml:space="preserve"> neoadjuvant studies have generally been preferred in the investigation of new HER2-targeted agents for HER2+ breast cancer for reasons beyond the known benefits to the patient and physician. Reasons for this preference include additional prognostic information and the improved probability of breast conserving surgery. Neoadjuvant studies allow tumor snapshots before and after therapy and, in some cases, in-study, opening possibilities for new insights into biomarkers that either predict response to treatment and/or actually drive the therapeutic outcome and become new drug targets. Neoadjuvant studies also allow gradual introduction of more paradigm shifting or controversial approaches to breast cancer ie, dual HER2-targeted therapy without chemotherapy via integration of the study protocol with current standards of care neoadjuvantly and/or adjuvantly. Additionally, since chemotherapy and trastuzumab is standard </w:t>
      </w:r>
      <w:r>
        <w:lastRenderedPageBreak/>
        <w:t>of care for any tumor larger than 1 cm (NCCN guidelines), there is less ambiguity without definitive pathological staging of lymph nodes as to whether a patient with a HER2+ breast cancer needs chemotherapy. Lastly, comparative effects from neoadjuvant studies give more immediate data compared to DFS and OS from adjuvant studies, and more rapidly informs development of novel trial concepts.</w:t>
      </w:r>
    </w:p>
    <w:p w:rsidR="00215689" w:rsidRDefault="00215689" w:rsidP="00215689">
      <w:pPr>
        <w:pStyle w:val="NormalWeb"/>
        <w:shd w:val="clear" w:color="auto" w:fill="FFFFFF"/>
        <w:spacing w:line="480" w:lineRule="auto"/>
        <w:ind w:firstLine="720"/>
      </w:pPr>
      <w:r>
        <w:t>Prior to a discussion of the neoadjuvant trials, it is worthwhile to consider the significance of pCR in locally advanced HER2+ breast cancer. Although several smaller scale studies suggested pCR was prognostic for DFS and OS,</w:t>
      </w:r>
      <w:hyperlink r:id="rId77" w:history="1">
        <w:r>
          <w:rPr>
            <w:rStyle w:val="Hyperlink"/>
            <w:vertAlign w:val="superscript"/>
          </w:rPr>
          <w:t>67</w:t>
        </w:r>
      </w:hyperlink>
      <w:r>
        <w:rPr>
          <w:vertAlign w:val="superscript"/>
        </w:rPr>
        <w:t>–</w:t>
      </w:r>
      <w:hyperlink r:id="rId78" w:history="1">
        <w:r>
          <w:rPr>
            <w:rStyle w:val="Hyperlink"/>
            <w:vertAlign w:val="superscript"/>
          </w:rPr>
          <w:t>69</w:t>
        </w:r>
      </w:hyperlink>
      <w:r>
        <w:t> a recent analysis strongly validates the significance of pCR for HR− HER2+ breast cancer. In a highly powered review of more than 6377 patients enrolled in 7 neoadjuvant anthracycline-taxane based chemotherapy clinical trials, Von Minckwitz et al demonstrated that both the specific definition of pCR and the subtype of breast cancer were important in terms of the reliability of pCR as a surrogate for DFS and OS.</w:t>
      </w:r>
      <w:hyperlink r:id="rId79" w:history="1">
        <w:r>
          <w:rPr>
            <w:rStyle w:val="Hyperlink"/>
            <w:vertAlign w:val="superscript"/>
          </w:rPr>
          <w:t>70</w:t>
        </w:r>
      </w:hyperlink>
      <w:r>
        <w:t xml:space="preserve"> The optimal definition to this end was evidence that there was neither residual invasive cancer nor in situ disease in the breast and lymph nodes. The most commonly reported pCR definition in the neoadjuvant trials to be discussed in this review was no evidence of residual invasive cancer in the breast and lymph nodes (allowance of in situ disease), which was the second best definition in this analysis. Compared to luminal A/B (HR+) breast cancer subtypes, patients with non-luminal (HR−) HER2+ breast cancer were not only more likely to achieve pCR using this definition (27.6% without trastuzumab and 32.9% with trastuzumab) but the pCR was also found to have significant prognostic value for DFS and OS. Importantly, pCR in luminal B (HR+) HER2+ breast cancer did not have prognostic value for DFS and OS (nor luminal A). Significance of pCR was also found with luminal B HER2− and triple negative breast cancer subtypes. Whether pCR has similar value when HER2-targeted therapy is given without </w:t>
      </w:r>
      <w:r>
        <w:lastRenderedPageBreak/>
        <w:t>chemotherapy remains unknown, since this analysis was limited to patients receiving chemotherapy, predominantly anthracycline-taxane containing regimens.</w:t>
      </w:r>
    </w:p>
    <w:p w:rsidR="00215689" w:rsidRDefault="00215689" w:rsidP="00215689">
      <w:pPr>
        <w:pStyle w:val="NormalWeb"/>
        <w:shd w:val="clear" w:color="auto" w:fill="FFFFFF"/>
        <w:spacing w:line="480" w:lineRule="auto"/>
        <w:ind w:firstLine="720"/>
      </w:pPr>
      <w:r>
        <w:t>As of September 2012, five neoadjuvant studies with a treatment arm that included trastuzumab and lapatinib combination have reported results on pCR rate (See </w:t>
      </w:r>
      <w:hyperlink r:id="rId80" w:history="1">
        <w:r>
          <w:rPr>
            <w:rStyle w:val="Hyperlink"/>
          </w:rPr>
          <w:t>Table 1</w:t>
        </w:r>
      </w:hyperlink>
      <w:r>
        <w:t> for overview). The international phase III NeoALTTO study</w:t>
      </w:r>
      <w:hyperlink r:id="rId81" w:history="1">
        <w:r>
          <w:rPr>
            <w:rStyle w:val="Hyperlink"/>
            <w:vertAlign w:val="superscript"/>
          </w:rPr>
          <w:t>57</w:t>
        </w:r>
      </w:hyperlink>
      <w:r>
        <w:rPr>
          <w:vertAlign w:val="superscript"/>
        </w:rPr>
        <w:t>,</w:t>
      </w:r>
      <w:hyperlink r:id="rId82" w:history="1">
        <w:r>
          <w:rPr>
            <w:rStyle w:val="Hyperlink"/>
            <w:vertAlign w:val="superscript"/>
          </w:rPr>
          <w:t>71</w:t>
        </w:r>
      </w:hyperlink>
      <w:r>
        <w:t> randomized 455 patients with locally advanced (&gt;2 cm) HER2+ breast cancer to 3 treatments arms: oral lapatinib (1500 mg/d), trastuzumab (4 mg/kg loading dose, 2 mg/kg subsequent doses), or lapatinib (1000 mg/d) plus trastuzumab, the same doses as the EGF104900 study. The HER2-targeted therapy was given alone for 6 weeks and then with weekly paclitaxel for 12 weeks until surgery. After surgery, patients were treated with 4 cycles of FEC (5-fluorouracil, epirubicin, and cyclophosphamide without concurrent HER2-targeted therapy), followed by 34 weeks on the same HER2-targeted treatment given prior to surgery. In this study, the primary endpoint, pCR, was defined by NSABP criteria ie, as no invasive cancer in the breast. The pCR for the combination group was 51.3%, almost double the pCR of the trastuzumab and lapatinib alone groups, 29.5% and 21.1% respectively. When using a definition of no invasive disease in the breast and lymph nodes, pCR was 46.8% for combination and 27.6% and 20.0% for trastuzumab and lapatinib respectively. Hormone receptor negative (HR−) tumors had an overall higher pCR compared to HR+ tumors for all treatment arms. Regardless, combination therapy produced the highest pCR rates in both HR+ (42% for combination versus 16.3% for lapatinib and 22.7% for trastuzumab) and HR− (61.3% for combination versus 33.8% for lapatinib and 36% for trastuzumab) breast cancer. All of these differences in pCR were significant when comparing the combination arm to trastuzumab alone.</w:t>
      </w:r>
    </w:p>
    <w:p w:rsidR="00215689" w:rsidRDefault="00215689" w:rsidP="00215689">
      <w:pPr>
        <w:pStyle w:val="Subtitle"/>
        <w:rPr>
          <w:rFonts w:ascii="Times New Roman" w:hAnsi="Times New Roman"/>
          <w:b/>
          <w:sz w:val="24"/>
          <w:szCs w:val="24"/>
        </w:rPr>
      </w:pPr>
      <w:r>
        <w:rPr>
          <w:rFonts w:ascii="Times New Roman" w:hAnsi="Times New Roman"/>
          <w:b/>
          <w:sz w:val="24"/>
          <w:szCs w:val="24"/>
        </w:rPr>
        <w:t>Overall safety</w:t>
      </w:r>
    </w:p>
    <w:p w:rsidR="00215689" w:rsidRDefault="00215689" w:rsidP="00215689">
      <w:pPr>
        <w:spacing w:before="100" w:after="100" w:line="480" w:lineRule="auto"/>
        <w:ind w:firstLine="720"/>
      </w:pPr>
      <w:r>
        <w:rPr>
          <w:rFonts w:ascii="Times New Roman" w:hAnsi="Times New Roman" w:cs="Times New Roman"/>
          <w:color w:val="000000"/>
          <w:sz w:val="24"/>
          <w:szCs w:val="24"/>
          <w:shd w:val="clear" w:color="auto" w:fill="FFFFFF"/>
        </w:rPr>
        <w:lastRenderedPageBreak/>
        <w:t>Monoclonal antibodies can also be modified in order to have additional effects as well. Teicher and Chari discuss the possibilities of conjugated antibodies which involves coupling effector molecules to monoclonal antibodies (e.g. plant/bacterial toxins, enzymes, radionuclides, cytotoxic drugs, etc.). Chemical coupling of effector molecules to monoclonal antibodies is usually done with the aid of chemical ligands (i.e. joining molecules). Sites for coupling on the monoclonal antibodies usually include: thiol groups (e.g. –SH groups on cysteine residues, etc.), amine groups (e.g. –NH</w:t>
      </w:r>
      <w:r>
        <w:rPr>
          <w:rFonts w:ascii="Times New Roman" w:hAnsi="Times New Roman" w:cs="Times New Roman"/>
          <w:color w:val="000000"/>
          <w:sz w:val="24"/>
          <w:szCs w:val="24"/>
          <w:shd w:val="clear" w:color="auto" w:fill="FFFFFF"/>
          <w:vertAlign w:val="subscript"/>
        </w:rPr>
        <w:t>2</w:t>
      </w:r>
      <w:r>
        <w:rPr>
          <w:rFonts w:ascii="Times New Roman" w:hAnsi="Times New Roman" w:cs="Times New Roman"/>
          <w:color w:val="000000"/>
          <w:sz w:val="24"/>
          <w:szCs w:val="24"/>
          <w:shd w:val="clear" w:color="auto" w:fill="FFFFFF"/>
        </w:rPr>
        <w:t> groups on lysine residues) or carbohydrates. Cysteine, lysine or carbohydrate attachment sites can be added anywhere into a monoclonal antibody using site-directed mutagenesis, although the function of the monoclonal antibody must not be impaired. For example, an antibody bound to a toxin can be targeted against a tumour. This can also be produced by genetic engineering where a DNA sequence coding for the specific toxin can be added to the end of the scFv chain region in the genome so they are transcribed at the same time. Bispecific antibodies can target 2 separate epitopes with each arm of the Fab portion. They can be produced by chemical cross-linking of IgG, Fab or scFv fragments or through the generation of a ‘hybrid hybridoma</w:t>
      </w:r>
      <w:r>
        <w:rPr>
          <w:color w:val="000000"/>
          <w:shd w:val="clear" w:color="auto" w:fill="FFFFFF"/>
        </w:rPr>
        <w:t>’ </w:t>
      </w:r>
    </w:p>
    <w:p w:rsidR="00215689" w:rsidRDefault="00215689" w:rsidP="00215689">
      <w:pPr>
        <w:rPr>
          <w:rFonts w:ascii="Times New Roman" w:hAnsi="Times New Roman" w:cs="Times New Roman"/>
          <w:sz w:val="24"/>
          <w:szCs w:val="24"/>
        </w:rPr>
      </w:pPr>
    </w:p>
    <w:p w:rsidR="00215689" w:rsidRDefault="00215689" w:rsidP="00215689">
      <w:pPr>
        <w:rPr>
          <w:rFonts w:ascii="Times New Roman" w:hAnsi="Times New Roman" w:cs="Times New Roman"/>
          <w:sz w:val="24"/>
          <w:szCs w:val="24"/>
        </w:rPr>
      </w:pPr>
    </w:p>
    <w:p w:rsidR="00215689" w:rsidRDefault="00215689" w:rsidP="00215689">
      <w:pPr>
        <w:pStyle w:val="Title"/>
        <w:rPr>
          <w:rFonts w:ascii="Times New Roman" w:hAnsi="Times New Roman"/>
          <w:sz w:val="28"/>
          <w:szCs w:val="28"/>
        </w:rPr>
      </w:pPr>
    </w:p>
    <w:p w:rsidR="00215689" w:rsidRDefault="00215689" w:rsidP="00215689">
      <w:pPr>
        <w:pStyle w:val="Title"/>
        <w:rPr>
          <w:rFonts w:ascii="Times New Roman" w:hAnsi="Times New Roman"/>
          <w:sz w:val="28"/>
          <w:szCs w:val="28"/>
        </w:rPr>
      </w:pPr>
    </w:p>
    <w:p w:rsidR="00215689" w:rsidRDefault="00215689" w:rsidP="00215689">
      <w:pPr>
        <w:pStyle w:val="Title"/>
        <w:rPr>
          <w:rFonts w:ascii="Times New Roman" w:hAnsi="Times New Roman"/>
          <w:sz w:val="28"/>
          <w:szCs w:val="28"/>
        </w:rPr>
      </w:pPr>
    </w:p>
    <w:p w:rsidR="00215689" w:rsidRDefault="00215689" w:rsidP="00215689">
      <w:pPr>
        <w:pStyle w:val="Title"/>
        <w:rPr>
          <w:rFonts w:ascii="Times New Roman" w:hAnsi="Times New Roman"/>
          <w:sz w:val="28"/>
          <w:szCs w:val="28"/>
        </w:rPr>
      </w:pPr>
    </w:p>
    <w:p w:rsidR="00215689" w:rsidRDefault="00215689" w:rsidP="00215689">
      <w:pPr>
        <w:pStyle w:val="Title"/>
        <w:rPr>
          <w:rFonts w:ascii="Times New Roman" w:hAnsi="Times New Roman"/>
          <w:sz w:val="28"/>
          <w:szCs w:val="28"/>
        </w:rPr>
      </w:pPr>
    </w:p>
    <w:p w:rsidR="00215689" w:rsidRDefault="00215689" w:rsidP="00215689">
      <w:pPr>
        <w:pStyle w:val="Title"/>
        <w:rPr>
          <w:rFonts w:ascii="Times New Roman" w:hAnsi="Times New Roman"/>
          <w:sz w:val="28"/>
          <w:szCs w:val="28"/>
        </w:rPr>
      </w:pPr>
    </w:p>
    <w:p w:rsidR="00215689" w:rsidRDefault="00215689" w:rsidP="00215689">
      <w:pPr>
        <w:pStyle w:val="Title"/>
        <w:rPr>
          <w:rFonts w:ascii="Times New Roman" w:hAnsi="Times New Roman"/>
          <w:sz w:val="28"/>
          <w:szCs w:val="28"/>
        </w:rPr>
      </w:pPr>
    </w:p>
    <w:p w:rsidR="00215689" w:rsidRDefault="00215689" w:rsidP="00215689">
      <w:pPr>
        <w:pStyle w:val="Title"/>
        <w:rPr>
          <w:rFonts w:ascii="Times New Roman" w:hAnsi="Times New Roman"/>
          <w:sz w:val="28"/>
          <w:szCs w:val="28"/>
        </w:rPr>
      </w:pPr>
    </w:p>
    <w:p w:rsidR="00215689" w:rsidRDefault="00215689" w:rsidP="00215689">
      <w:pPr>
        <w:pStyle w:val="Title"/>
        <w:rPr>
          <w:rFonts w:ascii="Times New Roman" w:hAnsi="Times New Roman"/>
          <w:sz w:val="28"/>
          <w:szCs w:val="28"/>
        </w:rPr>
      </w:pPr>
    </w:p>
    <w:p w:rsidR="00215689" w:rsidRDefault="00215689" w:rsidP="00215689">
      <w:pPr>
        <w:pStyle w:val="Title"/>
        <w:rPr>
          <w:rFonts w:ascii="Times New Roman" w:hAnsi="Times New Roman"/>
          <w:sz w:val="28"/>
          <w:szCs w:val="28"/>
        </w:rPr>
      </w:pPr>
    </w:p>
    <w:p w:rsidR="00215689" w:rsidRDefault="00215689" w:rsidP="00215689">
      <w:pPr>
        <w:pStyle w:val="Title"/>
        <w:rPr>
          <w:rFonts w:ascii="Times New Roman" w:hAnsi="Times New Roman"/>
          <w:sz w:val="28"/>
          <w:szCs w:val="28"/>
        </w:rPr>
      </w:pPr>
    </w:p>
    <w:p w:rsidR="00215689" w:rsidRDefault="00215689" w:rsidP="00215689">
      <w:pPr>
        <w:pStyle w:val="Title"/>
        <w:rPr>
          <w:rFonts w:ascii="Times New Roman" w:hAnsi="Times New Roman"/>
          <w:sz w:val="28"/>
          <w:szCs w:val="28"/>
        </w:rPr>
      </w:pPr>
    </w:p>
    <w:p w:rsidR="00215689" w:rsidRDefault="00215689" w:rsidP="00215689">
      <w:pPr>
        <w:pStyle w:val="Title"/>
        <w:rPr>
          <w:rFonts w:ascii="Times New Roman" w:hAnsi="Times New Roman"/>
          <w:sz w:val="28"/>
          <w:szCs w:val="28"/>
        </w:rPr>
      </w:pPr>
    </w:p>
    <w:p w:rsidR="00215689" w:rsidRDefault="00215689" w:rsidP="00215689">
      <w:pPr>
        <w:pStyle w:val="Title"/>
        <w:rPr>
          <w:rFonts w:ascii="Times New Roman" w:hAnsi="Times New Roman"/>
          <w:sz w:val="28"/>
          <w:szCs w:val="28"/>
        </w:rPr>
      </w:pPr>
    </w:p>
    <w:p w:rsidR="00215689" w:rsidRDefault="00215689" w:rsidP="00215689">
      <w:pPr>
        <w:pStyle w:val="Title"/>
        <w:rPr>
          <w:rFonts w:ascii="Times New Roman" w:hAnsi="Times New Roman"/>
          <w:sz w:val="28"/>
          <w:szCs w:val="28"/>
        </w:rPr>
      </w:pPr>
    </w:p>
    <w:p w:rsidR="00215689" w:rsidRDefault="00215689" w:rsidP="00215689">
      <w:pPr>
        <w:pStyle w:val="Title"/>
        <w:jc w:val="center"/>
        <w:rPr>
          <w:rFonts w:ascii="Times New Roman" w:hAnsi="Times New Roman"/>
          <w:sz w:val="28"/>
          <w:szCs w:val="28"/>
        </w:rPr>
      </w:pPr>
      <w:r>
        <w:rPr>
          <w:rFonts w:ascii="Times New Roman" w:hAnsi="Times New Roman"/>
          <w:sz w:val="28"/>
          <w:szCs w:val="28"/>
        </w:rPr>
        <w:t>Conclusion</w:t>
      </w:r>
    </w:p>
    <w:p w:rsidR="00215689" w:rsidRDefault="00215689" w:rsidP="00215689"/>
    <w:p w:rsidR="00215689" w:rsidRDefault="00215689" w:rsidP="00215689">
      <w:pPr>
        <w:pStyle w:val="Title"/>
        <w:spacing w:before="100" w:after="100" w:line="480" w:lineRule="auto"/>
        <w:ind w:firstLine="720"/>
      </w:pPr>
      <w:r>
        <w:rPr>
          <w:rFonts w:ascii="Times New Roman" w:hAnsi="Times New Roman"/>
          <w:color w:val="000000"/>
          <w:sz w:val="24"/>
          <w:szCs w:val="24"/>
          <w:shd w:val="clear" w:color="auto" w:fill="FFFFFF"/>
        </w:rPr>
        <w:t>Monoclonal antibodies present an attractive option for the development of new therapies and molecular drug targets against a wide variety of common diseases due to their specificity and flexibility. Considerations when choosing the types of monoclonal antibodies to develop include: its method of production, avidity, its effector function and its delivery to its target tissue (e.g. a smaller scFv may be able to penetrate a tumor more effectively than a full-sized antibody). However, despite its drawbacks, there is still major interest from pharmaceutical companies to develop monoclonal antibodies for both clinical and diagnostic use and this will surely dictate the future of treatment and management of common, chronic conditions from a clinical and economical point of view.</w:t>
      </w:r>
    </w:p>
    <w:p w:rsidR="00215689" w:rsidRDefault="00215689" w:rsidP="00215689">
      <w:pPr>
        <w:pStyle w:val="Title"/>
        <w:spacing w:before="100" w:after="100" w:line="480" w:lineRule="auto"/>
        <w:jc w:val="center"/>
        <w:rPr>
          <w:rFonts w:ascii="Times New Roman" w:hAnsi="Times New Roman"/>
          <w:sz w:val="24"/>
          <w:szCs w:val="24"/>
        </w:rPr>
      </w:pPr>
    </w:p>
    <w:p w:rsidR="00215689" w:rsidRDefault="00215689" w:rsidP="00215689">
      <w:pPr>
        <w:pStyle w:val="Title"/>
        <w:spacing w:before="100" w:after="100" w:line="480" w:lineRule="auto"/>
        <w:jc w:val="center"/>
        <w:rPr>
          <w:rFonts w:ascii="Times New Roman" w:hAnsi="Times New Roman"/>
          <w:sz w:val="24"/>
          <w:szCs w:val="24"/>
        </w:rPr>
      </w:pPr>
    </w:p>
    <w:p w:rsidR="00215689" w:rsidRDefault="00215689" w:rsidP="00215689">
      <w:pPr>
        <w:pStyle w:val="Title"/>
        <w:spacing w:before="100" w:after="100" w:line="480" w:lineRule="auto"/>
        <w:jc w:val="center"/>
        <w:rPr>
          <w:rFonts w:ascii="Times New Roman" w:hAnsi="Times New Roman"/>
          <w:sz w:val="24"/>
          <w:szCs w:val="24"/>
        </w:rPr>
      </w:pPr>
    </w:p>
    <w:p w:rsidR="00215689" w:rsidRDefault="00215689" w:rsidP="00215689">
      <w:pPr>
        <w:pStyle w:val="Title"/>
        <w:spacing w:before="100" w:after="100" w:line="480" w:lineRule="auto"/>
        <w:jc w:val="center"/>
        <w:rPr>
          <w:rFonts w:ascii="Times New Roman" w:hAnsi="Times New Roman"/>
          <w:sz w:val="24"/>
          <w:szCs w:val="24"/>
        </w:rPr>
      </w:pPr>
    </w:p>
    <w:p w:rsidR="00215689" w:rsidRDefault="00215689" w:rsidP="00215689">
      <w:pPr>
        <w:pStyle w:val="Title"/>
        <w:spacing w:before="100" w:after="100" w:line="480" w:lineRule="auto"/>
        <w:jc w:val="center"/>
        <w:rPr>
          <w:rFonts w:ascii="Times New Roman" w:hAnsi="Times New Roman"/>
          <w:sz w:val="24"/>
          <w:szCs w:val="24"/>
        </w:rPr>
      </w:pPr>
    </w:p>
    <w:p w:rsidR="00215689" w:rsidRDefault="00215689" w:rsidP="00215689">
      <w:pPr>
        <w:pStyle w:val="Title"/>
        <w:spacing w:before="100" w:after="100" w:line="480" w:lineRule="auto"/>
        <w:jc w:val="center"/>
        <w:rPr>
          <w:rFonts w:ascii="Times New Roman" w:hAnsi="Times New Roman"/>
          <w:sz w:val="24"/>
          <w:szCs w:val="24"/>
        </w:rPr>
      </w:pPr>
    </w:p>
    <w:p w:rsidR="00215689" w:rsidRDefault="00215689" w:rsidP="00215689">
      <w:pPr>
        <w:pStyle w:val="Title"/>
        <w:spacing w:before="100" w:after="100" w:line="480" w:lineRule="auto"/>
        <w:jc w:val="center"/>
        <w:rPr>
          <w:rFonts w:ascii="Times New Roman" w:hAnsi="Times New Roman"/>
          <w:sz w:val="24"/>
          <w:szCs w:val="24"/>
        </w:rPr>
      </w:pPr>
    </w:p>
    <w:p w:rsidR="00215689" w:rsidRDefault="00215689" w:rsidP="00215689">
      <w:pPr>
        <w:pStyle w:val="Title"/>
        <w:spacing w:before="100" w:after="100" w:line="480" w:lineRule="auto"/>
        <w:jc w:val="center"/>
        <w:rPr>
          <w:rFonts w:ascii="Times New Roman" w:hAnsi="Times New Roman"/>
          <w:sz w:val="24"/>
          <w:szCs w:val="24"/>
        </w:rPr>
      </w:pPr>
    </w:p>
    <w:p w:rsidR="00215689" w:rsidRDefault="00215689" w:rsidP="00215689">
      <w:pPr>
        <w:pStyle w:val="Title"/>
        <w:spacing w:before="100" w:after="100" w:line="480" w:lineRule="auto"/>
        <w:jc w:val="center"/>
        <w:rPr>
          <w:rFonts w:ascii="Times New Roman" w:hAnsi="Times New Roman"/>
          <w:sz w:val="24"/>
          <w:szCs w:val="24"/>
        </w:rPr>
      </w:pPr>
    </w:p>
    <w:p w:rsidR="00215689" w:rsidRDefault="00215689" w:rsidP="00215689">
      <w:pPr>
        <w:pStyle w:val="Title"/>
        <w:spacing w:before="100" w:after="100" w:line="480" w:lineRule="auto"/>
        <w:jc w:val="center"/>
        <w:rPr>
          <w:rFonts w:ascii="Times New Roman" w:hAnsi="Times New Roman"/>
          <w:sz w:val="24"/>
          <w:szCs w:val="24"/>
        </w:rPr>
      </w:pPr>
    </w:p>
    <w:p w:rsidR="00215689" w:rsidRDefault="00215689" w:rsidP="00215689">
      <w:pPr>
        <w:pStyle w:val="Title"/>
        <w:spacing w:before="100" w:after="100" w:line="480" w:lineRule="auto"/>
        <w:jc w:val="center"/>
        <w:rPr>
          <w:rFonts w:ascii="Times New Roman" w:hAnsi="Times New Roman"/>
          <w:sz w:val="24"/>
          <w:szCs w:val="24"/>
        </w:rPr>
      </w:pPr>
    </w:p>
    <w:p w:rsidR="00215689" w:rsidRDefault="00215689" w:rsidP="00215689">
      <w:pPr>
        <w:pStyle w:val="Title"/>
        <w:spacing w:before="100" w:after="100" w:line="480" w:lineRule="auto"/>
        <w:jc w:val="center"/>
        <w:rPr>
          <w:rFonts w:ascii="Times New Roman" w:hAnsi="Times New Roman"/>
          <w:sz w:val="24"/>
          <w:szCs w:val="24"/>
        </w:rPr>
      </w:pPr>
    </w:p>
    <w:p w:rsidR="00215689" w:rsidRDefault="00215689" w:rsidP="00215689">
      <w:pPr>
        <w:pStyle w:val="Title"/>
        <w:spacing w:before="100" w:after="100" w:line="480" w:lineRule="auto"/>
        <w:jc w:val="center"/>
        <w:rPr>
          <w:rFonts w:ascii="Times New Roman" w:hAnsi="Times New Roman"/>
          <w:sz w:val="24"/>
          <w:szCs w:val="24"/>
        </w:rPr>
      </w:pPr>
    </w:p>
    <w:p w:rsidR="00215689" w:rsidRDefault="00215689" w:rsidP="00215689"/>
    <w:p w:rsidR="00215689" w:rsidRDefault="00215689" w:rsidP="00215689">
      <w:pPr>
        <w:pStyle w:val="Title"/>
        <w:spacing w:before="100" w:after="100" w:line="480" w:lineRule="auto"/>
        <w:jc w:val="center"/>
        <w:rPr>
          <w:rFonts w:ascii="Times New Roman" w:hAnsi="Times New Roman"/>
          <w:sz w:val="24"/>
          <w:szCs w:val="24"/>
        </w:rPr>
      </w:pPr>
      <w:r>
        <w:rPr>
          <w:rFonts w:ascii="Times New Roman" w:hAnsi="Times New Roman"/>
          <w:sz w:val="24"/>
          <w:szCs w:val="24"/>
        </w:rPr>
        <w:t>REFERENCES</w:t>
      </w:r>
    </w:p>
    <w:p w:rsidR="00215689" w:rsidRDefault="00215689" w:rsidP="00215689">
      <w:pPr>
        <w:spacing w:before="100" w:after="100" w:line="480" w:lineRule="auto"/>
        <w:ind w:left="720" w:hanging="720"/>
        <w:rPr>
          <w:rFonts w:ascii="Times New Roman" w:hAnsi="Times New Roman" w:cs="Times New Roman"/>
          <w:sz w:val="24"/>
          <w:szCs w:val="24"/>
        </w:rPr>
      </w:pPr>
      <w:r>
        <w:rPr>
          <w:rFonts w:ascii="Times New Roman" w:hAnsi="Times New Roman" w:cs="Times New Roman"/>
          <w:sz w:val="24"/>
          <w:szCs w:val="24"/>
        </w:rPr>
        <w:t>A. M., Allison, J. P., &amp; Wolchok, J. D. (2012). Monoclonal antibodies in cancer therapy. Cancer Immunity Archive, 12(1), 14.</w:t>
      </w:r>
    </w:p>
    <w:p w:rsidR="00215689" w:rsidRDefault="00215689" w:rsidP="00215689">
      <w:pPr>
        <w:spacing w:before="100" w:after="100" w:line="480" w:lineRule="auto"/>
        <w:ind w:left="720" w:hanging="720"/>
      </w:pPr>
      <w:r>
        <w:rPr>
          <w:rFonts w:ascii="Times New Roman" w:hAnsi="Times New Roman" w:cs="Times New Roman"/>
          <w:sz w:val="24"/>
          <w:szCs w:val="24"/>
          <w:shd w:val="clear" w:color="auto" w:fill="FFFFFF"/>
        </w:rPr>
        <w:t>Balko, J., I. Mayer, M. Levy, C. Arteaga. 2014. HER2 (ERBB2) Overexpression in Breast Cancer. </w:t>
      </w:r>
      <w:r>
        <w:rPr>
          <w:rStyle w:val="Emphasis"/>
          <w:rFonts w:ascii="Times New Roman" w:hAnsi="Times New Roman" w:cs="Times New Roman"/>
          <w:sz w:val="24"/>
          <w:szCs w:val="24"/>
          <w:shd w:val="clear" w:color="auto" w:fill="FFFFFF"/>
        </w:rPr>
        <w:t>My Cancer Genome</w:t>
      </w:r>
      <w:r>
        <w:rPr>
          <w:rFonts w:ascii="Times New Roman" w:hAnsi="Times New Roman" w:cs="Times New Roman"/>
          <w:sz w:val="24"/>
          <w:szCs w:val="24"/>
          <w:shd w:val="clear" w:color="auto" w:fill="FFFFFF"/>
        </w:rPr>
        <w:t> </w:t>
      </w:r>
      <w:r>
        <w:rPr>
          <w:rStyle w:val="nobreak"/>
          <w:rFonts w:ascii="Times New Roman" w:hAnsi="Times New Roman" w:cs="Times New Roman"/>
          <w:sz w:val="24"/>
          <w:szCs w:val="24"/>
          <w:shd w:val="clear" w:color="auto" w:fill="FFFFFF"/>
        </w:rPr>
        <w:t>https://www.mycancergenome.org/content/disease/breast-cancer/erbb2/238/</w:t>
      </w:r>
      <w:r>
        <w:rPr>
          <w:rFonts w:ascii="Times New Roman" w:hAnsi="Times New Roman" w:cs="Times New Roman"/>
          <w:sz w:val="24"/>
          <w:szCs w:val="24"/>
          <w:shd w:val="clear" w:color="auto" w:fill="FFFFFF"/>
        </w:rPr>
        <w:t> (Updated October 20).</w:t>
      </w:r>
    </w:p>
    <w:p w:rsidR="00215689" w:rsidRDefault="00215689" w:rsidP="00215689">
      <w:pPr>
        <w:spacing w:before="100" w:after="100" w:line="480" w:lineRule="auto"/>
        <w:ind w:left="720" w:hanging="720"/>
        <w:rPr>
          <w:rFonts w:ascii="Times New Roman" w:hAnsi="Times New Roman" w:cs="Times New Roman"/>
          <w:sz w:val="24"/>
          <w:szCs w:val="24"/>
        </w:rPr>
      </w:pPr>
      <w:r>
        <w:rPr>
          <w:rFonts w:ascii="Times New Roman" w:hAnsi="Times New Roman" w:cs="Times New Roman"/>
          <w:sz w:val="24"/>
          <w:szCs w:val="24"/>
        </w:rPr>
        <w:t>Drakaki, A., &amp; Hurvitz, S. A. (2015). HER2-positive breast cancer: update on new and emerging agents. American Journal of Hematology/Oncology®, 11(4).</w:t>
      </w:r>
    </w:p>
    <w:p w:rsidR="00215689" w:rsidRDefault="00215689" w:rsidP="00215689">
      <w:pPr>
        <w:autoSpaceDE w:val="0"/>
        <w:spacing w:before="100" w:after="10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Giordano, S.H., Buzdar, A.U., Smith, T.L., Kau, S.W., Yang, Y., Hortobagyi, G.N., 2004. Is breast cancer survival improving? Cancer 100, 44–52. </w:t>
      </w:r>
    </w:p>
    <w:p w:rsidR="00215689" w:rsidRDefault="00215689" w:rsidP="00215689">
      <w:pPr>
        <w:spacing w:before="100" w:after="100" w:line="480" w:lineRule="auto"/>
        <w:ind w:left="720" w:hanging="720"/>
      </w:pPr>
      <w:r>
        <w:rPr>
          <w:rStyle w:val="element-citation"/>
          <w:rFonts w:ascii="Times New Roman" w:hAnsi="Times New Roman" w:cs="Times New Roman"/>
          <w:sz w:val="24"/>
          <w:szCs w:val="24"/>
        </w:rPr>
        <w:t>Köhler G., Milstein C. Continuous cultures of fused cells secreting antibody of predefined specificity. </w:t>
      </w:r>
      <w:r>
        <w:rPr>
          <w:rStyle w:val="ref-journal"/>
          <w:rFonts w:ascii="Times New Roman" w:hAnsi="Times New Roman" w:cs="Times New Roman"/>
          <w:sz w:val="24"/>
          <w:szCs w:val="24"/>
        </w:rPr>
        <w:t>Nature. </w:t>
      </w:r>
      <w:r>
        <w:rPr>
          <w:rStyle w:val="element-citation"/>
          <w:rFonts w:ascii="Times New Roman" w:hAnsi="Times New Roman" w:cs="Times New Roman"/>
          <w:sz w:val="24"/>
          <w:szCs w:val="24"/>
        </w:rPr>
        <w:t>1975;</w:t>
      </w:r>
      <w:r>
        <w:rPr>
          <w:rStyle w:val="ref-vol"/>
          <w:rFonts w:ascii="Times New Roman" w:hAnsi="Times New Roman" w:cs="Times New Roman"/>
          <w:sz w:val="24"/>
          <w:szCs w:val="24"/>
        </w:rPr>
        <w:t xml:space="preserve"> 256 </w:t>
      </w:r>
      <w:r>
        <w:rPr>
          <w:rStyle w:val="element-citation"/>
          <w:rFonts w:ascii="Times New Roman" w:hAnsi="Times New Roman" w:cs="Times New Roman"/>
          <w:sz w:val="24"/>
          <w:szCs w:val="24"/>
        </w:rPr>
        <w:t>(5517):495–497.</w:t>
      </w:r>
    </w:p>
    <w:p w:rsidR="00215689" w:rsidRDefault="00215689" w:rsidP="00215689">
      <w:pPr>
        <w:spacing w:before="100" w:after="10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La Vecchia, C., Bosetti, C., Lucchini, F., Bertuccio, P., Negri, E., Boyle, P., et al., 2010. Cancer mortality in European, 2000–2004, and an overview of trends since 1975. Ann. Oncol. 21, 1323–1360. </w:t>
      </w:r>
    </w:p>
    <w:p w:rsidR="00215689" w:rsidRDefault="00215689" w:rsidP="00215689">
      <w:pPr>
        <w:autoSpaceDE w:val="0"/>
        <w:spacing w:before="100" w:after="10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Lee-Hoeflich, S.T., Crocker, L., Yao, E., Pham, T., Munroe, X., Hoeflich, K.P., et al., 2008. A central role for HER3 in HER2-amplified breast cancer: implications for targeted therapy. Cancer Res. 68, 5878–5887. </w:t>
      </w:r>
    </w:p>
    <w:p w:rsidR="00215689" w:rsidRDefault="00215689" w:rsidP="00215689">
      <w:pPr>
        <w:autoSpaceDE w:val="0"/>
        <w:spacing w:before="100" w:after="100" w:line="480" w:lineRule="auto"/>
        <w:ind w:left="720" w:hanging="720"/>
      </w:pPr>
      <w:r>
        <w:rPr>
          <w:rStyle w:val="element-citation"/>
          <w:rFonts w:ascii="Times New Roman" w:hAnsi="Times New Roman" w:cs="Times New Roman"/>
          <w:sz w:val="24"/>
          <w:szCs w:val="24"/>
        </w:rPr>
        <w:lastRenderedPageBreak/>
        <w:t>Little M., Kipriyanov S.M., Le Gall F., Moldenhauer G. Of mice and men: hybridoma and recombinant antibodies. </w:t>
      </w:r>
      <w:r>
        <w:rPr>
          <w:rStyle w:val="ref-journal"/>
          <w:rFonts w:ascii="Times New Roman" w:hAnsi="Times New Roman" w:cs="Times New Roman"/>
          <w:sz w:val="24"/>
          <w:szCs w:val="24"/>
        </w:rPr>
        <w:t>Immunol Today. </w:t>
      </w:r>
      <w:r>
        <w:rPr>
          <w:rStyle w:val="element-citation"/>
          <w:rFonts w:ascii="Times New Roman" w:hAnsi="Times New Roman" w:cs="Times New Roman"/>
          <w:sz w:val="24"/>
          <w:szCs w:val="24"/>
        </w:rPr>
        <w:t>2000;</w:t>
      </w:r>
      <w:r>
        <w:rPr>
          <w:rStyle w:val="ref-vol"/>
          <w:rFonts w:ascii="Times New Roman" w:hAnsi="Times New Roman" w:cs="Times New Roman"/>
          <w:sz w:val="24"/>
          <w:szCs w:val="24"/>
        </w:rPr>
        <w:t>21</w:t>
      </w:r>
      <w:r>
        <w:rPr>
          <w:rStyle w:val="element-citation"/>
          <w:rFonts w:ascii="Times New Roman" w:hAnsi="Times New Roman" w:cs="Times New Roman"/>
          <w:sz w:val="24"/>
          <w:szCs w:val="24"/>
        </w:rPr>
        <w:t>(8):364–370.</w:t>
      </w:r>
    </w:p>
    <w:p w:rsidR="00215689" w:rsidRDefault="00215689" w:rsidP="00215689">
      <w:pPr>
        <w:autoSpaceDE w:val="0"/>
        <w:spacing w:before="100" w:after="10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Mauri, D., Pavlidis, N., Ioannidis, J.P., 2005. Neoadjuvant versus adjuvant systemic treatment in breast cancer: a meta-analysis. J. Natl. Cancer Inst. 97, 188–194. </w:t>
      </w:r>
    </w:p>
    <w:p w:rsidR="00215689" w:rsidRDefault="00215689" w:rsidP="00215689">
      <w:pPr>
        <w:autoSpaceDE w:val="0"/>
        <w:spacing w:before="100" w:after="10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Mayer, E.L., Gropper, A.B., Harris, L., Gold, J.M., Parker, L., Kuter, I., et al., 2015. Long-Term Follow-up after preoperative trastuzumab and chemotherapy for HER2-overexpressing breast cancer. Clin. Breast Cancer 15, 24–30. </w:t>
      </w:r>
    </w:p>
    <w:p w:rsidR="00215689" w:rsidRDefault="00215689" w:rsidP="00215689">
      <w:pPr>
        <w:spacing w:before="100" w:after="100" w:line="480" w:lineRule="auto"/>
        <w:ind w:left="720" w:hanging="720"/>
      </w:pPr>
      <w:r>
        <w:rPr>
          <w:rFonts w:ascii="Times New Roman" w:hAnsi="Times New Roman" w:cs="Times New Roman"/>
          <w:sz w:val="24"/>
          <w:szCs w:val="24"/>
        </w:rPr>
        <w:t xml:space="preserve">Medical therapy breast cancer | Oncology. (2017). Cambridge University Press. Retrieved 1 March 2018, from </w:t>
      </w:r>
      <w:hyperlink r:id="rId83" w:history="1">
        <w:r>
          <w:rPr>
            <w:rStyle w:val="Hyperlink"/>
            <w:rFonts w:ascii="Times New Roman" w:hAnsi="Times New Roman" w:cs="Times New Roman"/>
            <w:sz w:val="24"/>
            <w:szCs w:val="24"/>
          </w:rPr>
          <w:t>http://www.cambridge.org/lb/academic/subjects/medicine/oncology/medical-therapy-breast-cancer?format=HB&amp;isbn=9780521496322#ReKi0A54oyerWDsI.97</w:t>
        </w:r>
      </w:hyperlink>
    </w:p>
    <w:p w:rsidR="00215689" w:rsidRDefault="00215689" w:rsidP="00215689">
      <w:pPr>
        <w:spacing w:before="100" w:after="100" w:line="480" w:lineRule="auto"/>
        <w:ind w:left="720" w:hanging="720"/>
      </w:pPr>
      <w:r>
        <w:rPr>
          <w:rFonts w:ascii="Times New Roman" w:hAnsi="Times New Roman" w:cs="Times New Roman"/>
          <w:sz w:val="24"/>
          <w:szCs w:val="24"/>
          <w:shd w:val="clear" w:color="auto" w:fill="FFFFFF"/>
        </w:rPr>
        <w:t>Plomin, R., &amp; Daniels, D. (1987). Why are children in the same family so different from one another?. </w:t>
      </w:r>
      <w:r>
        <w:rPr>
          <w:rFonts w:ascii="Times New Roman" w:hAnsi="Times New Roman" w:cs="Times New Roman"/>
          <w:i/>
          <w:iCs/>
          <w:sz w:val="24"/>
          <w:szCs w:val="24"/>
          <w:shd w:val="clear" w:color="auto" w:fill="FFFFFF"/>
        </w:rPr>
        <w:t>Behavioral and brain Sciences</w:t>
      </w:r>
      <w:r>
        <w:rPr>
          <w:rFonts w:ascii="Times New Roman" w:hAnsi="Times New Roman" w:cs="Times New Roman"/>
          <w:sz w:val="24"/>
          <w:szCs w:val="24"/>
          <w:shd w:val="clear" w:color="auto" w:fill="FFFFFF"/>
        </w:rPr>
        <w:t>, </w:t>
      </w:r>
      <w:r>
        <w:rPr>
          <w:rFonts w:ascii="Times New Roman" w:hAnsi="Times New Roman" w:cs="Times New Roman"/>
          <w:i/>
          <w:iCs/>
          <w:sz w:val="24"/>
          <w:szCs w:val="24"/>
          <w:shd w:val="clear" w:color="auto" w:fill="FFFFFF"/>
        </w:rPr>
        <w:t>10</w:t>
      </w:r>
      <w:r>
        <w:rPr>
          <w:rFonts w:ascii="Times New Roman" w:hAnsi="Times New Roman" w:cs="Times New Roman"/>
          <w:sz w:val="24"/>
          <w:szCs w:val="24"/>
          <w:shd w:val="clear" w:color="auto" w:fill="FFFFFF"/>
        </w:rPr>
        <w:t>(1), 1-16.</w:t>
      </w:r>
    </w:p>
    <w:p w:rsidR="00215689" w:rsidRDefault="00215689" w:rsidP="00215689">
      <w:pPr>
        <w:spacing w:before="100" w:after="100" w:line="480" w:lineRule="auto"/>
        <w:ind w:left="720" w:hanging="720"/>
        <w:rPr>
          <w:rFonts w:ascii="Times New Roman" w:hAnsi="Times New Roman" w:cs="Times New Roman"/>
          <w:sz w:val="24"/>
          <w:szCs w:val="24"/>
        </w:rPr>
      </w:pPr>
      <w:r>
        <w:rPr>
          <w:rFonts w:ascii="Times New Roman" w:hAnsi="Times New Roman" w:cs="Times New Roman"/>
          <w:sz w:val="24"/>
          <w:szCs w:val="24"/>
        </w:rPr>
        <w:t>Ross, J. S., Slodkowska, E. A., Symmans, W. F., Pusztai, L., Ravdin, P. M., &amp; Hortobagyi, G. N. (2009). The HER-2 receptor and breast cancer: ten years of targeted anti–HER-2 therapy and personalized medicine. The oncologist, 14(4), 320-368.</w:t>
      </w:r>
    </w:p>
    <w:p w:rsidR="00215689" w:rsidRDefault="00215689" w:rsidP="00215689">
      <w:pPr>
        <w:spacing w:before="100" w:after="100" w:line="480" w:lineRule="auto"/>
        <w:rPr>
          <w:rFonts w:ascii="Times New Roman" w:hAnsi="Times New Roman" w:cs="Times New Roman"/>
          <w:sz w:val="24"/>
          <w:szCs w:val="24"/>
        </w:rPr>
      </w:pPr>
    </w:p>
    <w:p w:rsidR="009F04BE" w:rsidRDefault="00215689">
      <w:bookmarkStart w:id="16" w:name="_GoBack"/>
      <w:bookmarkEnd w:id="16"/>
    </w:p>
    <w:sectPr w:rsidR="009F04BE">
      <w:headerReference w:type="default" r:id="rId84"/>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C3C52" w:rsidRDefault="00215689">
    <w:pPr>
      <w:pStyle w:val="Header"/>
      <w:jc w:val="right"/>
    </w:pPr>
    <w:r>
      <w:fldChar w:fldCharType="begin"/>
    </w:r>
    <w:r>
      <w:instrText xml:space="preserve"> PAGE </w:instrText>
    </w:r>
    <w:r>
      <w:fldChar w:fldCharType="separate"/>
    </w:r>
    <w:r>
      <w:rPr>
        <w:noProof/>
      </w:rPr>
      <w:t>1</w:t>
    </w:r>
    <w:r>
      <w:fldChar w:fldCharType="end"/>
    </w:r>
  </w:p>
  <w:p w:rsidR="007C3C52" w:rsidRDefault="0021568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B423510"/>
    <w:multiLevelType w:val="multilevel"/>
    <w:tmpl w:val="E0DAC398"/>
    <w:lvl w:ilvl="0">
      <w:numFmt w:val="bullet"/>
      <w:lvlText w:val=""/>
      <w:lvlJc w:val="left"/>
      <w:pPr>
        <w:ind w:left="720" w:hanging="360"/>
      </w:pPr>
      <w:rPr>
        <w:rFonts w:ascii="Symbol" w:hAnsi="Symbol"/>
        <w:sz w:val="20"/>
      </w:rPr>
    </w:lvl>
    <w:lvl w:ilvl="1">
      <w:numFmt w:val="bullet"/>
      <w:lvlText w:val=""/>
      <w:lvlJc w:val="left"/>
      <w:pPr>
        <w:ind w:left="1440" w:hanging="360"/>
      </w:pPr>
      <w:rPr>
        <w:rFonts w:ascii="Symbol" w:hAnsi="Symbol"/>
        <w:sz w:val="20"/>
      </w:rPr>
    </w:lvl>
    <w:lvl w:ilvl="2">
      <w:numFmt w:val="bullet"/>
      <w:lvlText w:val=""/>
      <w:lvlJc w:val="left"/>
      <w:pPr>
        <w:ind w:left="2160" w:hanging="360"/>
      </w:pPr>
      <w:rPr>
        <w:rFonts w:ascii="Symbol" w:hAnsi="Symbol"/>
        <w:sz w:val="20"/>
      </w:rPr>
    </w:lvl>
    <w:lvl w:ilvl="3">
      <w:numFmt w:val="bullet"/>
      <w:lvlText w:val=""/>
      <w:lvlJc w:val="left"/>
      <w:pPr>
        <w:ind w:left="2880" w:hanging="360"/>
      </w:pPr>
      <w:rPr>
        <w:rFonts w:ascii="Symbol" w:hAnsi="Symbol"/>
        <w:sz w:val="20"/>
      </w:rPr>
    </w:lvl>
    <w:lvl w:ilvl="4">
      <w:numFmt w:val="bullet"/>
      <w:lvlText w:val=""/>
      <w:lvlJc w:val="left"/>
      <w:pPr>
        <w:ind w:left="3600" w:hanging="360"/>
      </w:pPr>
      <w:rPr>
        <w:rFonts w:ascii="Symbol" w:hAnsi="Symbol"/>
        <w:sz w:val="20"/>
      </w:rPr>
    </w:lvl>
    <w:lvl w:ilvl="5">
      <w:numFmt w:val="bullet"/>
      <w:lvlText w:val=""/>
      <w:lvlJc w:val="left"/>
      <w:pPr>
        <w:ind w:left="4320" w:hanging="360"/>
      </w:pPr>
      <w:rPr>
        <w:rFonts w:ascii="Symbol" w:hAnsi="Symbol"/>
        <w:sz w:val="20"/>
      </w:rPr>
    </w:lvl>
    <w:lvl w:ilvl="6">
      <w:numFmt w:val="bullet"/>
      <w:lvlText w:val=""/>
      <w:lvlJc w:val="left"/>
      <w:pPr>
        <w:ind w:left="5040" w:hanging="360"/>
      </w:pPr>
      <w:rPr>
        <w:rFonts w:ascii="Symbol" w:hAnsi="Symbol"/>
        <w:sz w:val="20"/>
      </w:rPr>
    </w:lvl>
    <w:lvl w:ilvl="7">
      <w:numFmt w:val="bullet"/>
      <w:lvlText w:val=""/>
      <w:lvlJc w:val="left"/>
      <w:pPr>
        <w:ind w:left="5760" w:hanging="360"/>
      </w:pPr>
      <w:rPr>
        <w:rFonts w:ascii="Symbol" w:hAnsi="Symbol"/>
        <w:sz w:val="20"/>
      </w:rPr>
    </w:lvl>
    <w:lvl w:ilvl="8">
      <w:numFmt w:val="bullet"/>
      <w:lvlText w:val=""/>
      <w:lvlJc w:val="left"/>
      <w:pPr>
        <w:ind w:left="6480" w:hanging="360"/>
      </w:pPr>
      <w:rPr>
        <w:rFonts w:ascii="Symbol" w:hAnsi="Symbol"/>
        <w:sz w:val="20"/>
      </w:rPr>
    </w:lvl>
  </w:abstractNum>
  <w:abstractNum w:abstractNumId="1">
    <w:nsid w:val="47C50D4B"/>
    <w:multiLevelType w:val="multilevel"/>
    <w:tmpl w:val="31A87A6A"/>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2">
    <w:nsid w:val="516601AC"/>
    <w:multiLevelType w:val="multilevel"/>
    <w:tmpl w:val="BB2AE696"/>
    <w:lvl w:ilvl="0">
      <w:numFmt w:val="bullet"/>
      <w:lvlText w:val=""/>
      <w:lvlJc w:val="left"/>
      <w:pPr>
        <w:ind w:left="720" w:hanging="360"/>
      </w:pPr>
      <w:rPr>
        <w:rFonts w:ascii="Symbol" w:hAnsi="Symbol"/>
        <w:sz w:val="20"/>
      </w:rPr>
    </w:lvl>
    <w:lvl w:ilvl="1">
      <w:numFmt w:val="bullet"/>
      <w:lvlText w:val=""/>
      <w:lvlJc w:val="left"/>
      <w:pPr>
        <w:ind w:left="1440" w:hanging="360"/>
      </w:pPr>
      <w:rPr>
        <w:rFonts w:ascii="Symbol" w:hAnsi="Symbol"/>
        <w:sz w:val="20"/>
      </w:rPr>
    </w:lvl>
    <w:lvl w:ilvl="2">
      <w:numFmt w:val="bullet"/>
      <w:lvlText w:val=""/>
      <w:lvlJc w:val="left"/>
      <w:pPr>
        <w:ind w:left="2160" w:hanging="360"/>
      </w:pPr>
      <w:rPr>
        <w:rFonts w:ascii="Symbol" w:hAnsi="Symbol"/>
        <w:sz w:val="20"/>
      </w:rPr>
    </w:lvl>
    <w:lvl w:ilvl="3">
      <w:numFmt w:val="bullet"/>
      <w:lvlText w:val=""/>
      <w:lvlJc w:val="left"/>
      <w:pPr>
        <w:ind w:left="2880" w:hanging="360"/>
      </w:pPr>
      <w:rPr>
        <w:rFonts w:ascii="Symbol" w:hAnsi="Symbol"/>
        <w:sz w:val="20"/>
      </w:rPr>
    </w:lvl>
    <w:lvl w:ilvl="4">
      <w:numFmt w:val="bullet"/>
      <w:lvlText w:val=""/>
      <w:lvlJc w:val="left"/>
      <w:pPr>
        <w:ind w:left="3600" w:hanging="360"/>
      </w:pPr>
      <w:rPr>
        <w:rFonts w:ascii="Symbol" w:hAnsi="Symbol"/>
        <w:sz w:val="20"/>
      </w:rPr>
    </w:lvl>
    <w:lvl w:ilvl="5">
      <w:numFmt w:val="bullet"/>
      <w:lvlText w:val=""/>
      <w:lvlJc w:val="left"/>
      <w:pPr>
        <w:ind w:left="4320" w:hanging="360"/>
      </w:pPr>
      <w:rPr>
        <w:rFonts w:ascii="Symbol" w:hAnsi="Symbol"/>
        <w:sz w:val="20"/>
      </w:rPr>
    </w:lvl>
    <w:lvl w:ilvl="6">
      <w:numFmt w:val="bullet"/>
      <w:lvlText w:val=""/>
      <w:lvlJc w:val="left"/>
      <w:pPr>
        <w:ind w:left="5040" w:hanging="360"/>
      </w:pPr>
      <w:rPr>
        <w:rFonts w:ascii="Symbol" w:hAnsi="Symbol"/>
        <w:sz w:val="20"/>
      </w:rPr>
    </w:lvl>
    <w:lvl w:ilvl="7">
      <w:numFmt w:val="bullet"/>
      <w:lvlText w:val=""/>
      <w:lvlJc w:val="left"/>
      <w:pPr>
        <w:ind w:left="5760" w:hanging="360"/>
      </w:pPr>
      <w:rPr>
        <w:rFonts w:ascii="Symbol" w:hAnsi="Symbol"/>
        <w:sz w:val="20"/>
      </w:rPr>
    </w:lvl>
    <w:lvl w:ilvl="8">
      <w:numFmt w:val="bullet"/>
      <w:lvlText w:val=""/>
      <w:lvlJc w:val="left"/>
      <w:pPr>
        <w:ind w:left="6480" w:hanging="360"/>
      </w:pPr>
      <w:rPr>
        <w:rFonts w:ascii="Symbol" w:hAnsi="Symbol"/>
        <w:sz w:val="20"/>
      </w:rPr>
    </w:lvl>
  </w:abstractNum>
  <w:abstractNum w:abstractNumId="3">
    <w:nsid w:val="588B0E7B"/>
    <w:multiLevelType w:val="multilevel"/>
    <w:tmpl w:val="67C68390"/>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4">
    <w:nsid w:val="69000414"/>
    <w:multiLevelType w:val="multilevel"/>
    <w:tmpl w:val="4B10F686"/>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5">
    <w:nsid w:val="7BC34CB0"/>
    <w:multiLevelType w:val="multilevel"/>
    <w:tmpl w:val="965E2B02"/>
    <w:lvl w:ilvl="0">
      <w:numFmt w:val="bullet"/>
      <w:lvlText w:val=""/>
      <w:lvlJc w:val="left"/>
      <w:pPr>
        <w:ind w:left="720" w:hanging="360"/>
      </w:pPr>
      <w:rPr>
        <w:rFonts w:ascii="Symbol" w:hAnsi="Symbol"/>
        <w:sz w:val="20"/>
      </w:rPr>
    </w:lvl>
    <w:lvl w:ilvl="1">
      <w:numFmt w:val="bullet"/>
      <w:lvlText w:val=""/>
      <w:lvlJc w:val="left"/>
      <w:pPr>
        <w:ind w:left="1440" w:hanging="360"/>
      </w:pPr>
      <w:rPr>
        <w:rFonts w:ascii="Symbol" w:hAnsi="Symbol"/>
        <w:sz w:val="20"/>
      </w:rPr>
    </w:lvl>
    <w:lvl w:ilvl="2">
      <w:numFmt w:val="bullet"/>
      <w:lvlText w:val=""/>
      <w:lvlJc w:val="left"/>
      <w:pPr>
        <w:ind w:left="2160" w:hanging="360"/>
      </w:pPr>
      <w:rPr>
        <w:rFonts w:ascii="Symbol" w:hAnsi="Symbol"/>
        <w:sz w:val="20"/>
      </w:rPr>
    </w:lvl>
    <w:lvl w:ilvl="3">
      <w:numFmt w:val="bullet"/>
      <w:lvlText w:val=""/>
      <w:lvlJc w:val="left"/>
      <w:pPr>
        <w:ind w:left="2880" w:hanging="360"/>
      </w:pPr>
      <w:rPr>
        <w:rFonts w:ascii="Symbol" w:hAnsi="Symbol"/>
        <w:sz w:val="20"/>
      </w:rPr>
    </w:lvl>
    <w:lvl w:ilvl="4">
      <w:numFmt w:val="bullet"/>
      <w:lvlText w:val=""/>
      <w:lvlJc w:val="left"/>
      <w:pPr>
        <w:ind w:left="3600" w:hanging="360"/>
      </w:pPr>
      <w:rPr>
        <w:rFonts w:ascii="Symbol" w:hAnsi="Symbol"/>
        <w:sz w:val="20"/>
      </w:rPr>
    </w:lvl>
    <w:lvl w:ilvl="5">
      <w:numFmt w:val="bullet"/>
      <w:lvlText w:val=""/>
      <w:lvlJc w:val="left"/>
      <w:pPr>
        <w:ind w:left="4320" w:hanging="360"/>
      </w:pPr>
      <w:rPr>
        <w:rFonts w:ascii="Symbol" w:hAnsi="Symbol"/>
        <w:sz w:val="20"/>
      </w:rPr>
    </w:lvl>
    <w:lvl w:ilvl="6">
      <w:numFmt w:val="bullet"/>
      <w:lvlText w:val=""/>
      <w:lvlJc w:val="left"/>
      <w:pPr>
        <w:ind w:left="5040" w:hanging="360"/>
      </w:pPr>
      <w:rPr>
        <w:rFonts w:ascii="Symbol" w:hAnsi="Symbol"/>
        <w:sz w:val="20"/>
      </w:rPr>
    </w:lvl>
    <w:lvl w:ilvl="7">
      <w:numFmt w:val="bullet"/>
      <w:lvlText w:val=""/>
      <w:lvlJc w:val="left"/>
      <w:pPr>
        <w:ind w:left="5760" w:hanging="360"/>
      </w:pPr>
      <w:rPr>
        <w:rFonts w:ascii="Symbol" w:hAnsi="Symbol"/>
        <w:sz w:val="20"/>
      </w:rPr>
    </w:lvl>
    <w:lvl w:ilvl="8">
      <w:numFmt w:val="bullet"/>
      <w:lvlText w:val=""/>
      <w:lvlJc w:val="left"/>
      <w:pPr>
        <w:ind w:left="6480" w:hanging="360"/>
      </w:pPr>
      <w:rPr>
        <w:rFonts w:ascii="Symbol" w:hAnsi="Symbol"/>
        <w:sz w:val="20"/>
      </w:rPr>
    </w:lvl>
  </w:abstractNum>
  <w:num w:numId="1">
    <w:abstractNumId w:val="2"/>
  </w:num>
  <w:num w:numId="2">
    <w:abstractNumId w:val="3"/>
  </w:num>
  <w:num w:numId="3">
    <w:abstractNumId w:val="1"/>
  </w:num>
  <w:num w:numId="4">
    <w:abstractNumId w:val="4"/>
  </w:num>
  <w:num w:numId="5">
    <w:abstractNumId w:val="5"/>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15689"/>
    <w:rsid w:val="00215689"/>
    <w:rsid w:val="003039F5"/>
    <w:rsid w:val="00E952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241EBA1-D767-43FD-946E-4BB0BB59D9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215689"/>
    <w:pPr>
      <w:suppressAutoHyphens/>
      <w:autoSpaceDN w:val="0"/>
      <w:spacing w:line="251" w:lineRule="auto"/>
      <w:textAlignment w:val="baseline"/>
    </w:pPr>
    <w:rPr>
      <w:rFonts w:ascii="Calibri" w:eastAsia="Calibri" w:hAnsi="Calibri" w:cs="Arial"/>
    </w:rPr>
  </w:style>
  <w:style w:type="paragraph" w:styleId="Heading1">
    <w:name w:val="heading 1"/>
    <w:basedOn w:val="Normal"/>
    <w:next w:val="Normal"/>
    <w:link w:val="Heading1Char"/>
    <w:uiPriority w:val="9"/>
    <w:qFormat/>
    <w:rsid w:val="00215689"/>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rsid w:val="00215689"/>
    <w:pPr>
      <w:keepNext/>
      <w:keepLines/>
      <w:spacing w:before="40" w:after="0"/>
      <w:outlineLvl w:val="1"/>
    </w:pPr>
    <w:rPr>
      <w:rFonts w:ascii="Calibri Light" w:eastAsia="MS Gothic" w:hAnsi="Calibri Light" w:cs="Times New Roman"/>
      <w:color w:val="2E74B5"/>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215689"/>
    <w:rPr>
      <w:rFonts w:ascii="Calibri Light" w:eastAsia="MS Gothic" w:hAnsi="Calibri Light" w:cs="Times New Roman"/>
      <w:color w:val="2E74B5"/>
      <w:sz w:val="26"/>
      <w:szCs w:val="26"/>
    </w:rPr>
  </w:style>
  <w:style w:type="character" w:customStyle="1" w:styleId="Heading1Char">
    <w:name w:val="Heading 1 Char"/>
    <w:basedOn w:val="DefaultParagraphFont"/>
    <w:link w:val="Heading1"/>
    <w:uiPriority w:val="9"/>
    <w:rsid w:val="00215689"/>
    <w:rPr>
      <w:rFonts w:asciiTheme="majorHAnsi" w:eastAsiaTheme="majorEastAsia" w:hAnsiTheme="majorHAnsi" w:cstheme="majorBidi"/>
      <w:color w:val="2E74B5" w:themeColor="accent1" w:themeShade="BF"/>
      <w:sz w:val="32"/>
      <w:szCs w:val="32"/>
    </w:rPr>
  </w:style>
  <w:style w:type="paragraph" w:styleId="TOCHeading">
    <w:name w:val="TOC Heading"/>
    <w:basedOn w:val="Heading1"/>
    <w:next w:val="Normal"/>
    <w:rsid w:val="00215689"/>
    <w:rPr>
      <w:rFonts w:ascii="Calibri Light" w:eastAsia="MS Gothic" w:hAnsi="Calibri Light" w:cs="Times New Roman"/>
      <w:color w:val="2E74B5"/>
    </w:rPr>
  </w:style>
  <w:style w:type="paragraph" w:styleId="TOC1">
    <w:name w:val="toc 1"/>
    <w:basedOn w:val="Normal"/>
    <w:next w:val="Normal"/>
    <w:autoRedefine/>
    <w:rsid w:val="00215689"/>
    <w:pPr>
      <w:spacing w:after="100"/>
    </w:pPr>
  </w:style>
  <w:style w:type="character" w:styleId="Hyperlink">
    <w:name w:val="Hyperlink"/>
    <w:basedOn w:val="DefaultParagraphFont"/>
    <w:rsid w:val="00215689"/>
    <w:rPr>
      <w:color w:val="0563C1"/>
      <w:u w:val="single"/>
    </w:rPr>
  </w:style>
  <w:style w:type="paragraph" w:styleId="TOC2">
    <w:name w:val="toc 2"/>
    <w:basedOn w:val="Normal"/>
    <w:next w:val="Normal"/>
    <w:autoRedefine/>
    <w:rsid w:val="00215689"/>
    <w:pPr>
      <w:spacing w:after="100"/>
      <w:ind w:left="220"/>
    </w:pPr>
  </w:style>
  <w:style w:type="paragraph" w:styleId="NoSpacing">
    <w:name w:val="No Spacing"/>
    <w:rsid w:val="00215689"/>
    <w:pPr>
      <w:suppressAutoHyphens/>
      <w:autoSpaceDN w:val="0"/>
      <w:bidi/>
      <w:spacing w:after="0" w:line="240" w:lineRule="auto"/>
      <w:textAlignment w:val="baseline"/>
    </w:pPr>
    <w:rPr>
      <w:rFonts w:ascii="Calibri" w:eastAsia="Calibri" w:hAnsi="Calibri" w:cs="Arial"/>
    </w:rPr>
  </w:style>
  <w:style w:type="character" w:styleId="Emphasis">
    <w:name w:val="Emphasis"/>
    <w:basedOn w:val="DefaultParagraphFont"/>
    <w:rsid w:val="00215689"/>
    <w:rPr>
      <w:i/>
      <w:iCs/>
    </w:rPr>
  </w:style>
  <w:style w:type="paragraph" w:styleId="NormalWeb">
    <w:name w:val="Normal (Web)"/>
    <w:basedOn w:val="Normal"/>
    <w:rsid w:val="00215689"/>
    <w:pPr>
      <w:suppressAutoHyphens w:val="0"/>
      <w:spacing w:before="100" w:after="100" w:line="240" w:lineRule="auto"/>
      <w:textAlignment w:val="auto"/>
    </w:pPr>
    <w:rPr>
      <w:rFonts w:ascii="Times New Roman" w:eastAsia="Times New Roman" w:hAnsi="Times New Roman" w:cs="Times New Roman"/>
      <w:sz w:val="24"/>
      <w:szCs w:val="24"/>
    </w:rPr>
  </w:style>
  <w:style w:type="character" w:styleId="Strong">
    <w:name w:val="Strong"/>
    <w:basedOn w:val="DefaultParagraphFont"/>
    <w:rsid w:val="00215689"/>
    <w:rPr>
      <w:b/>
      <w:bCs/>
    </w:rPr>
  </w:style>
  <w:style w:type="character" w:customStyle="1" w:styleId="nobreak">
    <w:name w:val="nobreak"/>
    <w:basedOn w:val="DefaultParagraphFont"/>
    <w:rsid w:val="00215689"/>
  </w:style>
  <w:style w:type="character" w:customStyle="1" w:styleId="element-citation">
    <w:name w:val="element-citation"/>
    <w:basedOn w:val="DefaultParagraphFont"/>
    <w:rsid w:val="00215689"/>
  </w:style>
  <w:style w:type="character" w:customStyle="1" w:styleId="ref-journal">
    <w:name w:val="ref-journal"/>
    <w:basedOn w:val="DefaultParagraphFont"/>
    <w:rsid w:val="00215689"/>
  </w:style>
  <w:style w:type="character" w:customStyle="1" w:styleId="ref-vol">
    <w:name w:val="ref-vol"/>
    <w:basedOn w:val="DefaultParagraphFont"/>
    <w:rsid w:val="00215689"/>
  </w:style>
  <w:style w:type="paragraph" w:customStyle="1" w:styleId="p">
    <w:name w:val="p"/>
    <w:basedOn w:val="Normal"/>
    <w:rsid w:val="00215689"/>
    <w:pPr>
      <w:suppressAutoHyphens w:val="0"/>
      <w:spacing w:before="100" w:after="100" w:line="240" w:lineRule="auto"/>
      <w:textAlignment w:val="auto"/>
    </w:pPr>
    <w:rPr>
      <w:rFonts w:ascii="Times New Roman" w:eastAsia="Times New Roman" w:hAnsi="Times New Roman" w:cs="Times New Roman"/>
      <w:sz w:val="24"/>
      <w:szCs w:val="24"/>
    </w:rPr>
  </w:style>
  <w:style w:type="paragraph" w:styleId="Header">
    <w:name w:val="header"/>
    <w:basedOn w:val="Normal"/>
    <w:link w:val="HeaderChar"/>
    <w:rsid w:val="00215689"/>
    <w:pPr>
      <w:tabs>
        <w:tab w:val="center" w:pos="4680"/>
        <w:tab w:val="right" w:pos="9360"/>
      </w:tabs>
      <w:spacing w:after="0" w:line="240" w:lineRule="auto"/>
    </w:pPr>
  </w:style>
  <w:style w:type="character" w:customStyle="1" w:styleId="HeaderChar">
    <w:name w:val="Header Char"/>
    <w:basedOn w:val="DefaultParagraphFont"/>
    <w:link w:val="Header"/>
    <w:rsid w:val="00215689"/>
    <w:rPr>
      <w:rFonts w:ascii="Calibri" w:eastAsia="Calibri" w:hAnsi="Calibri" w:cs="Arial"/>
    </w:rPr>
  </w:style>
  <w:style w:type="paragraph" w:styleId="Title">
    <w:name w:val="Title"/>
    <w:basedOn w:val="Normal"/>
    <w:next w:val="Normal"/>
    <w:link w:val="TitleChar"/>
    <w:rsid w:val="00215689"/>
    <w:pPr>
      <w:spacing w:after="0" w:line="240" w:lineRule="auto"/>
    </w:pPr>
    <w:rPr>
      <w:rFonts w:ascii="Calibri Light" w:eastAsia="Times New Roman" w:hAnsi="Calibri Light" w:cs="Times New Roman"/>
      <w:spacing w:val="-10"/>
      <w:kern w:val="3"/>
      <w:sz w:val="56"/>
      <w:szCs w:val="56"/>
    </w:rPr>
  </w:style>
  <w:style w:type="character" w:customStyle="1" w:styleId="TitleChar">
    <w:name w:val="Title Char"/>
    <w:basedOn w:val="DefaultParagraphFont"/>
    <w:link w:val="Title"/>
    <w:rsid w:val="00215689"/>
    <w:rPr>
      <w:rFonts w:ascii="Calibri Light" w:eastAsia="Times New Roman" w:hAnsi="Calibri Light" w:cs="Times New Roman"/>
      <w:spacing w:val="-10"/>
      <w:kern w:val="3"/>
      <w:sz w:val="56"/>
      <w:szCs w:val="56"/>
    </w:rPr>
  </w:style>
  <w:style w:type="paragraph" w:styleId="Subtitle">
    <w:name w:val="Subtitle"/>
    <w:basedOn w:val="Normal"/>
    <w:next w:val="Normal"/>
    <w:link w:val="SubtitleChar"/>
    <w:rsid w:val="00215689"/>
    <w:rPr>
      <w:rFonts w:eastAsia="Times New Roman" w:cs="Times New Roman"/>
      <w:color w:val="5A5A5A"/>
      <w:spacing w:val="15"/>
    </w:rPr>
  </w:style>
  <w:style w:type="character" w:customStyle="1" w:styleId="SubtitleChar">
    <w:name w:val="Subtitle Char"/>
    <w:basedOn w:val="DefaultParagraphFont"/>
    <w:link w:val="Subtitle"/>
    <w:rsid w:val="00215689"/>
    <w:rPr>
      <w:rFonts w:ascii="Calibri" w:eastAsia="Times New Roman" w:hAnsi="Calibri" w:cs="Times New Roman"/>
      <w:color w:val="5A5A5A"/>
      <w:spacing w:val="1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_Toc507339210" TargetMode="External"/><Relationship Id="rId21" Type="http://schemas.openxmlformats.org/officeDocument/2006/relationships/hyperlink" Target="#_Toc507339205" TargetMode="External"/><Relationship Id="rId42" Type="http://schemas.openxmlformats.org/officeDocument/2006/relationships/hyperlink" Target="https://www.mc.vanderbilt.edu/km/gl/pearls/protein.html" TargetMode="External"/><Relationship Id="rId47" Type="http://schemas.openxmlformats.org/officeDocument/2006/relationships/hyperlink" Target="http://www.ncbi.nlm.nih.gov/pubmed/17159189" TargetMode="External"/><Relationship Id="rId63" Type="http://schemas.openxmlformats.org/officeDocument/2006/relationships/image" Target="media/image3.png"/><Relationship Id="rId68" Type="http://schemas.openxmlformats.org/officeDocument/2006/relationships/hyperlink" Target="https://www.ncbi.nlm.nih.gov/pmc/articles/PMC4284445/#bib9" TargetMode="External"/><Relationship Id="rId84" Type="http://schemas.openxmlformats.org/officeDocument/2006/relationships/header" Target="header1.xml"/><Relationship Id="rId16" Type="http://schemas.openxmlformats.org/officeDocument/2006/relationships/hyperlink" Target="#_Toc507339199" TargetMode="External"/><Relationship Id="rId11" Type="http://schemas.openxmlformats.org/officeDocument/2006/relationships/hyperlink" Target="#_Toc507339195" TargetMode="External"/><Relationship Id="rId32" Type="http://schemas.openxmlformats.org/officeDocument/2006/relationships/hyperlink" Target="http://www.breastcancer.org/symptoms/types/ilc" TargetMode="External"/><Relationship Id="rId37" Type="http://schemas.openxmlformats.org/officeDocument/2006/relationships/hyperlink" Target="http://www.breastcancer.org/symptoms/types/pagets" TargetMode="External"/><Relationship Id="rId53" Type="http://schemas.openxmlformats.org/officeDocument/2006/relationships/hyperlink" Target="http://www.accessdata.fda.gov/scripts/cder/drugsatfda/index.cfm" TargetMode="External"/><Relationship Id="rId58" Type="http://schemas.openxmlformats.org/officeDocument/2006/relationships/hyperlink" Target="http://www.nccn.org/professionals/physician_gls/f_guidelines.asp#site" TargetMode="External"/><Relationship Id="rId74" Type="http://schemas.openxmlformats.org/officeDocument/2006/relationships/hyperlink" Target="https://www.ncbi.nlm.nih.gov/pmc/articles/PMC4284445/#bib4" TargetMode="External"/><Relationship Id="rId79" Type="http://schemas.openxmlformats.org/officeDocument/2006/relationships/hyperlink" Target="https://www.ncbi.nlm.nih.gov/pmc/articles/PMC3512454/#b70-bcbcr-6-2012-191" TargetMode="External"/><Relationship Id="rId5" Type="http://schemas.openxmlformats.org/officeDocument/2006/relationships/image" Target="media/image1.png"/><Relationship Id="rId19" Type="http://schemas.openxmlformats.org/officeDocument/2006/relationships/hyperlink" Target="#_Toc507339203" TargetMode="External"/><Relationship Id="rId14" Type="http://schemas.openxmlformats.org/officeDocument/2006/relationships/hyperlink" Target="#_Toc507339198" TargetMode="External"/><Relationship Id="rId22" Type="http://schemas.openxmlformats.org/officeDocument/2006/relationships/hyperlink" Target="#_Toc507339206" TargetMode="External"/><Relationship Id="rId27" Type="http://schemas.openxmlformats.org/officeDocument/2006/relationships/hyperlink" Target="#_Toc507339211" TargetMode="External"/><Relationship Id="rId30" Type="http://schemas.openxmlformats.org/officeDocument/2006/relationships/hyperlink" Target="http://www.breastcancer.org/symptoms/types/idc" TargetMode="External"/><Relationship Id="rId35" Type="http://schemas.openxmlformats.org/officeDocument/2006/relationships/hyperlink" Target="http://www.breastcancer.org/symptoms/types/male_bc" TargetMode="External"/><Relationship Id="rId43" Type="http://schemas.openxmlformats.org/officeDocument/2006/relationships/hyperlink" Target="http://www.ncbi.nlm.nih.gov/pubmed/15140287" TargetMode="External"/><Relationship Id="rId48" Type="http://schemas.openxmlformats.org/officeDocument/2006/relationships/hyperlink" Target="https://www.mc.vanderbilt.edu/km/gl/pearls/antibody.html" TargetMode="External"/><Relationship Id="rId56" Type="http://schemas.openxmlformats.org/officeDocument/2006/relationships/hyperlink" Target="http://www.ncbi.nlm.nih.gov/pubmed/17159189" TargetMode="External"/><Relationship Id="rId64" Type="http://schemas.openxmlformats.org/officeDocument/2006/relationships/image" Target="media/image4.png"/><Relationship Id="rId69" Type="http://schemas.openxmlformats.org/officeDocument/2006/relationships/hyperlink" Target="https://www.ncbi.nlm.nih.gov/pmc/articles/PMC4284445/#bib10" TargetMode="External"/><Relationship Id="rId77" Type="http://schemas.openxmlformats.org/officeDocument/2006/relationships/hyperlink" Target="https://www.ncbi.nlm.nih.gov/pmc/articles/PMC3512454/#b67-bcbcr-6-2012-191" TargetMode="External"/><Relationship Id="rId8" Type="http://schemas.openxmlformats.org/officeDocument/2006/relationships/hyperlink" Target="#_Toc507339191" TargetMode="External"/><Relationship Id="rId51" Type="http://schemas.openxmlformats.org/officeDocument/2006/relationships/hyperlink" Target="http://www.accessdata.fda.gov/scripts/cder/drugsatfda/index.cfm" TargetMode="External"/><Relationship Id="rId72" Type="http://schemas.openxmlformats.org/officeDocument/2006/relationships/hyperlink" Target="https://www.ncbi.nlm.nih.gov/pmc/articles/PMC4284445/#bib4" TargetMode="External"/><Relationship Id="rId80" Type="http://schemas.openxmlformats.org/officeDocument/2006/relationships/hyperlink" Target="https://www.ncbi.nlm.nih.gov/pmc/articles/PMC3512454/table/t1-bcbcr-6-2012-191/" TargetMode="External"/><Relationship Id="rId85" Type="http://schemas.openxmlformats.org/officeDocument/2006/relationships/fontTable" Target="fontTable.xml"/><Relationship Id="rId3" Type="http://schemas.openxmlformats.org/officeDocument/2006/relationships/settings" Target="settings.xml"/><Relationship Id="rId12" Type="http://schemas.openxmlformats.org/officeDocument/2006/relationships/hyperlink" Target="#_Toc507339200" TargetMode="External"/><Relationship Id="rId17" Type="http://schemas.openxmlformats.org/officeDocument/2006/relationships/hyperlink" Target="#_Toc507339201" TargetMode="External"/><Relationship Id="rId25" Type="http://schemas.openxmlformats.org/officeDocument/2006/relationships/hyperlink" Target="#_Toc507339209" TargetMode="External"/><Relationship Id="rId33" Type="http://schemas.openxmlformats.org/officeDocument/2006/relationships/hyperlink" Target="http://www.breastcancer.org/symptoms/types/inflammatory" TargetMode="External"/><Relationship Id="rId38" Type="http://schemas.openxmlformats.org/officeDocument/2006/relationships/hyperlink" Target="http://www.breastcancer.org/symptoms/types/phyllodes" TargetMode="External"/><Relationship Id="rId46" Type="http://schemas.openxmlformats.org/officeDocument/2006/relationships/hyperlink" Target="http://www.ncbi.nlm.nih.gov/pubmed/17159189" TargetMode="External"/><Relationship Id="rId59" Type="http://schemas.openxmlformats.org/officeDocument/2006/relationships/hyperlink" Target="https://www.mc.vanderbilt.edu/km/gl/pearls/protein.html" TargetMode="External"/><Relationship Id="rId67" Type="http://schemas.openxmlformats.org/officeDocument/2006/relationships/hyperlink" Target="https://www.ncbi.nlm.nih.gov/pmc/articles/PMC4284445/#bib6" TargetMode="External"/><Relationship Id="rId20" Type="http://schemas.openxmlformats.org/officeDocument/2006/relationships/hyperlink" Target="#_Toc507339204" TargetMode="External"/><Relationship Id="rId41" Type="http://schemas.openxmlformats.org/officeDocument/2006/relationships/hyperlink" Target="http://www.breastcancer.org/treatment/hormonal/aromatase_inhibitors" TargetMode="External"/><Relationship Id="rId54" Type="http://schemas.openxmlformats.org/officeDocument/2006/relationships/hyperlink" Target="http://www.accessdata.fda.gov/scripts/cder/drugsatfda/index.cfm" TargetMode="External"/><Relationship Id="rId62" Type="http://schemas.openxmlformats.org/officeDocument/2006/relationships/hyperlink" Target="https://www.ncbi.nlm.nih.gov/pmc/articles/PMC4284445/#bib6" TargetMode="External"/><Relationship Id="rId70" Type="http://schemas.openxmlformats.org/officeDocument/2006/relationships/hyperlink" Target="https://www.ncbi.nlm.nih.gov/pmc/articles/PMC4284445/#bib11" TargetMode="External"/><Relationship Id="rId75" Type="http://schemas.openxmlformats.org/officeDocument/2006/relationships/hyperlink" Target="https://www.ncbi.nlm.nih.gov/pmc/articles/PMC4284445/#bib6" TargetMode="External"/><Relationship Id="rId83" Type="http://schemas.openxmlformats.org/officeDocument/2006/relationships/hyperlink" Target="http://www.cambridge.org/lb/academic/subjects/medicine/oncology/medical-therapy-breast-cancer?format=HB&amp;isbn=9780521496322#ReKi0A54oyerWDsI.97" TargetMode="External"/><Relationship Id="rId1" Type="http://schemas.openxmlformats.org/officeDocument/2006/relationships/numbering" Target="numbering.xml"/><Relationship Id="rId6" Type="http://schemas.openxmlformats.org/officeDocument/2006/relationships/hyperlink" Target="#_Toc507339189" TargetMode="External"/><Relationship Id="rId15" Type="http://schemas.openxmlformats.org/officeDocument/2006/relationships/hyperlink" Target="#_Toc507339199" TargetMode="External"/><Relationship Id="rId23" Type="http://schemas.openxmlformats.org/officeDocument/2006/relationships/hyperlink" Target="#_Toc507339207" TargetMode="External"/><Relationship Id="rId28" Type="http://schemas.openxmlformats.org/officeDocument/2006/relationships/hyperlink" Target="#_Toc507339212" TargetMode="External"/><Relationship Id="rId36" Type="http://schemas.openxmlformats.org/officeDocument/2006/relationships/hyperlink" Target="http://www.breastcancer.org/symptoms/types/molecular-subtypes" TargetMode="External"/><Relationship Id="rId49" Type="http://schemas.openxmlformats.org/officeDocument/2006/relationships/hyperlink" Target="http://www.accessdata.fda.gov/scripts/cder/drugsatfda/index.cfm" TargetMode="External"/><Relationship Id="rId57" Type="http://schemas.openxmlformats.org/officeDocument/2006/relationships/hyperlink" Target="http://www.nccn.org/professionals/physician_gls/f_guidelines.asp#site" TargetMode="External"/><Relationship Id="rId10" Type="http://schemas.openxmlformats.org/officeDocument/2006/relationships/hyperlink" Target="#_Toc507339194" TargetMode="External"/><Relationship Id="rId31" Type="http://schemas.openxmlformats.org/officeDocument/2006/relationships/hyperlink" Target="http://www.breastcancer.org/symptoms/types/cribriform" TargetMode="External"/><Relationship Id="rId44" Type="http://schemas.openxmlformats.org/officeDocument/2006/relationships/hyperlink" Target="http://www.ncbi.nlm.nih.gov/pubmed/3798106" TargetMode="External"/><Relationship Id="rId52" Type="http://schemas.openxmlformats.org/officeDocument/2006/relationships/hyperlink" Target="https://www.mc.vanderbilt.edu/km/gl/pearls/receptor.html" TargetMode="External"/><Relationship Id="rId60" Type="http://schemas.openxmlformats.org/officeDocument/2006/relationships/hyperlink" Target="http://www.ncbi.nlm.nih.gov/pubmed/17159189" TargetMode="External"/><Relationship Id="rId65" Type="http://schemas.openxmlformats.org/officeDocument/2006/relationships/hyperlink" Target="https://www.ncbi.nlm.nih.gov/pmc/articles/PMC4284445/#bib7" TargetMode="External"/><Relationship Id="rId73" Type="http://schemas.openxmlformats.org/officeDocument/2006/relationships/hyperlink" Target="https://www.ncbi.nlm.nih.gov/pmc/articles/PMC4284445/#bib5" TargetMode="External"/><Relationship Id="rId78" Type="http://schemas.openxmlformats.org/officeDocument/2006/relationships/hyperlink" Target="https://www.ncbi.nlm.nih.gov/pmc/articles/PMC3512454/#b69-bcbcr-6-2012-191" TargetMode="External"/><Relationship Id="rId81" Type="http://schemas.openxmlformats.org/officeDocument/2006/relationships/hyperlink" Target="https://www.ncbi.nlm.nih.gov/pmc/articles/PMC3512454/#b57-bcbcr-6-2012-191" TargetMode="External"/><Relationship Id="rId86"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_Toc507339192" TargetMode="External"/><Relationship Id="rId13" Type="http://schemas.openxmlformats.org/officeDocument/2006/relationships/hyperlink" Target="#_Toc507339197" TargetMode="External"/><Relationship Id="rId18" Type="http://schemas.openxmlformats.org/officeDocument/2006/relationships/hyperlink" Target="#_Toc507339202" TargetMode="External"/><Relationship Id="rId39" Type="http://schemas.openxmlformats.org/officeDocument/2006/relationships/hyperlink" Target="http://www.breastcancer.org/symptoms/types/recur_metast" TargetMode="External"/><Relationship Id="rId34" Type="http://schemas.openxmlformats.org/officeDocument/2006/relationships/hyperlink" Target="http://www.breastcancer.org/symptoms/types/lcis" TargetMode="External"/><Relationship Id="rId50" Type="http://schemas.openxmlformats.org/officeDocument/2006/relationships/hyperlink" Target="https://www.mc.vanderbilt.edu/km/gl/pearls/antibody.html" TargetMode="External"/><Relationship Id="rId55" Type="http://schemas.openxmlformats.org/officeDocument/2006/relationships/hyperlink" Target="http://www.ncbi.nlm.nih.gov/pubmed/20142587" TargetMode="External"/><Relationship Id="rId76" Type="http://schemas.openxmlformats.org/officeDocument/2006/relationships/hyperlink" Target="https://www.ncbi.nlm.nih.gov/pmc/articles/PMC3512454/#b66-bcbcr-6-2012-191" TargetMode="External"/><Relationship Id="rId7" Type="http://schemas.openxmlformats.org/officeDocument/2006/relationships/hyperlink" Target="#_Toc507339190" TargetMode="External"/><Relationship Id="rId71" Type="http://schemas.openxmlformats.org/officeDocument/2006/relationships/hyperlink" Target="https://www.ncbi.nlm.nih.gov/pmc/articles/PMC4284445/#bib12" TargetMode="External"/><Relationship Id="rId2" Type="http://schemas.openxmlformats.org/officeDocument/2006/relationships/styles" Target="styles.xml"/><Relationship Id="rId29" Type="http://schemas.openxmlformats.org/officeDocument/2006/relationships/image" Target="media/image2.jpg"/><Relationship Id="rId24" Type="http://schemas.openxmlformats.org/officeDocument/2006/relationships/hyperlink" Target="#_Toc507339208" TargetMode="External"/><Relationship Id="rId40" Type="http://schemas.openxmlformats.org/officeDocument/2006/relationships/hyperlink" Target="http://www.breastcancer.org/treatment/hormonal/serms/tamoxifen" TargetMode="External"/><Relationship Id="rId45" Type="http://schemas.openxmlformats.org/officeDocument/2006/relationships/hyperlink" Target="http://www.ncbi.nlm.nih.gov/pubmed/15113815" TargetMode="External"/><Relationship Id="rId66" Type="http://schemas.openxmlformats.org/officeDocument/2006/relationships/hyperlink" Target="https://www.ncbi.nlm.nih.gov/pmc/articles/PMC4284445/#bib8" TargetMode="External"/><Relationship Id="rId61" Type="http://schemas.openxmlformats.org/officeDocument/2006/relationships/hyperlink" Target="https://www.ncbi.nlm.nih.gov/pmc/articles/PMC4284445/#bib4" TargetMode="External"/><Relationship Id="rId82" Type="http://schemas.openxmlformats.org/officeDocument/2006/relationships/hyperlink" Target="https://www.ncbi.nlm.nih.gov/pmc/articles/PMC3512454/#b71-bcbcr-6-2012-19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32</Pages>
  <Words>7612</Words>
  <Characters>43393</Characters>
  <Application>Microsoft Office Word</Application>
  <DocSecurity>0</DocSecurity>
  <Lines>361</Lines>
  <Paragraphs>101</Paragraphs>
  <ScaleCrop>false</ScaleCrop>
  <Company/>
  <LinksUpToDate>false</LinksUpToDate>
  <CharactersWithSpaces>50904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Mulwa</dc:creator>
  <cp:keywords/>
  <dc:description/>
  <cp:lastModifiedBy>James Mulwa</cp:lastModifiedBy>
  <cp:revision>1</cp:revision>
  <dcterms:created xsi:type="dcterms:W3CDTF">2018-03-20T16:38:00Z</dcterms:created>
  <dcterms:modified xsi:type="dcterms:W3CDTF">2018-03-20T16:39:00Z</dcterms:modified>
</cp:coreProperties>
</file>